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after="0"/>
        <w:ind w:right="3625"/>
        <w:jc w:val="right"/>
        <w:rPr>
          <w:rFonts w:ascii="微软雅黑" w:hAnsi="微软雅黑" w:eastAsia="微软雅黑" w:cs="微软雅黑"/>
          <w:sz w:val="44"/>
        </w:rPr>
      </w:pPr>
      <w:bookmarkStart w:id="0" w:name="_GoBack"/>
      <w:r>
        <w:rPr>
          <w:rFonts w:hint="eastAsia" w:ascii="微软雅黑" w:hAnsi="微软雅黑" w:eastAsia="微软雅黑" w:cs="微软雅黑"/>
          <w:sz w:val="44"/>
          <w:lang w:eastAsia="zh-CN"/>
        </w:rPr>
        <w:t>周口市住房和城乡建设局</w:t>
      </w:r>
      <w:r>
        <w:rPr>
          <w:rFonts w:hint="eastAsia" w:ascii="微软雅黑" w:hAnsi="微软雅黑" w:eastAsia="微软雅黑" w:cs="微软雅黑"/>
          <w:sz w:val="44"/>
        </w:rPr>
        <w:t>行政处罚依据</w:t>
      </w:r>
      <w:r>
        <w:rPr>
          <w:rFonts w:hint="eastAsia" w:ascii="微软雅黑" w:hAnsi="微软雅黑" w:eastAsia="微软雅黑" w:cs="微软雅黑"/>
          <w:sz w:val="44"/>
          <w:lang w:eastAsia="zh-CN"/>
        </w:rPr>
        <w:t>、</w:t>
      </w:r>
      <w:r>
        <w:rPr>
          <w:rFonts w:hint="eastAsia" w:ascii="微软雅黑" w:hAnsi="微软雅黑" w:eastAsia="微软雅黑" w:cs="微软雅黑"/>
          <w:sz w:val="44"/>
        </w:rPr>
        <w:t>条件</w:t>
      </w:r>
    </w:p>
    <w:bookmarkEnd w:id="0"/>
    <w:tbl>
      <w:tblPr>
        <w:tblStyle w:val="7"/>
        <w:tblW w:w="15775" w:type="dxa"/>
        <w:tblInd w:w="-1080" w:type="dxa"/>
        <w:tblLayout w:type="autofit"/>
        <w:tblCellMar>
          <w:top w:w="0" w:type="dxa"/>
          <w:left w:w="29" w:type="dxa"/>
          <w:bottom w:w="0" w:type="dxa"/>
          <w:right w:w="42" w:type="dxa"/>
        </w:tblCellMar>
      </w:tblPr>
      <w:tblGrid>
        <w:gridCol w:w="662"/>
        <w:gridCol w:w="7687"/>
        <w:gridCol w:w="4766"/>
        <w:gridCol w:w="1565"/>
        <w:gridCol w:w="1095"/>
      </w:tblGrid>
      <w:tr>
        <w:tblPrEx>
          <w:tblCellMar>
            <w:top w:w="0" w:type="dxa"/>
            <w:left w:w="29" w:type="dxa"/>
            <w:bottom w:w="0" w:type="dxa"/>
            <w:right w:w="42" w:type="dxa"/>
          </w:tblCellMar>
        </w:tblPrEx>
        <w:trPr>
          <w:trHeight w:val="542"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49"/>
            </w:pPr>
            <w:r>
              <w:rPr>
                <w:rFonts w:ascii="黑体" w:hAnsi="黑体" w:eastAsia="黑体" w:cs="黑体"/>
                <w:sz w:val="16"/>
              </w:rPr>
              <w:t>序号</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26"/>
              <w:jc w:val="center"/>
            </w:pPr>
            <w:r>
              <w:rPr>
                <w:rFonts w:ascii="黑体" w:hAnsi="黑体" w:eastAsia="黑体" w:cs="黑体"/>
                <w:sz w:val="16"/>
              </w:rPr>
              <w:t>违法行为</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29"/>
              <w:jc w:val="center"/>
            </w:pPr>
            <w:r>
              <w:rPr>
                <w:rFonts w:ascii="黑体" w:hAnsi="黑体" w:eastAsia="黑体" w:cs="黑体"/>
                <w:sz w:val="16"/>
              </w:rPr>
              <w:t>行政处罚实施依据</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30"/>
              <w:jc w:val="center"/>
            </w:pPr>
            <w:r>
              <w:rPr>
                <w:rFonts w:ascii="黑体" w:hAnsi="黑体" w:eastAsia="黑体" w:cs="黑体"/>
                <w:sz w:val="16"/>
              </w:rPr>
              <w:t>责任科室</w:t>
            </w:r>
          </w:p>
        </w:tc>
        <w:tc>
          <w:tcPr>
            <w:tcW w:w="1094" w:type="dxa"/>
            <w:tcBorders>
              <w:top w:val="single" w:color="000000" w:sz="8" w:space="0"/>
              <w:left w:val="single" w:color="000000" w:sz="8" w:space="0"/>
              <w:bottom w:val="single" w:color="000000" w:sz="8" w:space="0"/>
              <w:right w:val="single" w:color="000000" w:sz="8" w:space="0"/>
            </w:tcBorders>
            <w:vAlign w:val="center"/>
          </w:tcPr>
          <w:p>
            <w:pPr>
              <w:spacing w:after="0"/>
              <w:ind w:left="28"/>
              <w:jc w:val="center"/>
            </w:pPr>
            <w:r>
              <w:rPr>
                <w:rFonts w:ascii="黑体" w:hAnsi="黑体" w:eastAsia="黑体" w:cs="黑体"/>
                <w:sz w:val="16"/>
              </w:rPr>
              <w:t>备注</w:t>
            </w:r>
          </w:p>
        </w:tc>
      </w:tr>
      <w:tr>
        <w:tblPrEx>
          <w:tblCellMar>
            <w:top w:w="0" w:type="dxa"/>
            <w:left w:w="29" w:type="dxa"/>
            <w:bottom w:w="0" w:type="dxa"/>
            <w:right w:w="42" w:type="dxa"/>
          </w:tblCellMar>
        </w:tblPrEx>
        <w:trPr>
          <w:trHeight w:val="523"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1"/>
              <w:jc w:val="center"/>
            </w:pPr>
            <w:r>
              <w:rPr>
                <w:rFonts w:ascii="宋体" w:hAnsi="宋体" w:eastAsia="宋体" w:cs="宋体"/>
                <w:sz w:val="16"/>
              </w:rPr>
              <w:t>1</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27"/>
              <w:jc w:val="center"/>
            </w:pPr>
            <w:r>
              <w:rPr>
                <w:rFonts w:ascii="宋体" w:hAnsi="宋体" w:eastAsia="宋体" w:cs="宋体"/>
                <w:sz w:val="16"/>
              </w:rPr>
              <w:t>未取得资质等级证书或者超越资质等级从事房地产开发经营的处罚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27"/>
              <w:jc w:val="center"/>
            </w:pPr>
            <w:r>
              <w:rPr>
                <w:rFonts w:ascii="宋体" w:hAnsi="宋体" w:eastAsia="宋体" w:cs="宋体"/>
                <w:sz w:val="16"/>
              </w:rPr>
              <w:t>《城市房地产开发经营管理条例》</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117"/>
              <w:jc w:val="both"/>
            </w:pPr>
            <w:r>
              <w:rPr>
                <w:rFonts w:ascii="宋体" w:hAnsi="宋体" w:eastAsia="宋体" w:cs="宋体"/>
                <w:sz w:val="16"/>
              </w:rPr>
              <w:t>房地产开发管理科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0" w:type="dxa"/>
            <w:left w:w="29" w:type="dxa"/>
            <w:bottom w:w="0" w:type="dxa"/>
            <w:right w:w="4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1"/>
              <w:jc w:val="center"/>
            </w:pPr>
            <w:r>
              <w:rPr>
                <w:rFonts w:ascii="宋体" w:hAnsi="宋体" w:eastAsia="宋体" w:cs="宋体"/>
                <w:sz w:val="16"/>
              </w:rPr>
              <w:t>2</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28"/>
              <w:jc w:val="center"/>
            </w:pPr>
            <w:r>
              <w:rPr>
                <w:rFonts w:ascii="宋体" w:hAnsi="宋体" w:eastAsia="宋体" w:cs="宋体"/>
                <w:sz w:val="16"/>
              </w:rPr>
              <w:t>不符合商品房预售条件而进行预售的处罚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《中华人民共和国城市房地产管理法》《城市房地产开发经营管理条例》《城市商品房预售管理办法》</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117"/>
              <w:jc w:val="both"/>
            </w:pPr>
            <w:r>
              <w:rPr>
                <w:rFonts w:ascii="宋体" w:hAnsi="宋体" w:eastAsia="宋体" w:cs="宋体"/>
                <w:sz w:val="16"/>
              </w:rPr>
              <w:t>房地产开发管理科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0" w:type="dxa"/>
            <w:left w:w="29" w:type="dxa"/>
            <w:bottom w:w="0" w:type="dxa"/>
            <w:right w:w="4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1"/>
              <w:jc w:val="center"/>
            </w:pPr>
            <w:r>
              <w:rPr>
                <w:rFonts w:ascii="宋体" w:hAnsi="宋体" w:eastAsia="宋体" w:cs="宋体"/>
                <w:sz w:val="16"/>
              </w:rPr>
              <w:t>3</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房地产开发企业变更名称、住所、法定代表人等，未在营业执照变更后三十日内，向原资质证书核发部门办理变更手续的处罚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0"/>
              <w:jc w:val="center"/>
            </w:pPr>
            <w:r>
              <w:rPr>
                <w:rFonts w:ascii="宋体" w:hAnsi="宋体" w:eastAsia="宋体" w:cs="宋体"/>
                <w:sz w:val="16"/>
              </w:rPr>
              <w:t>《河南省城市房地产开发经营管理条例》</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199"/>
            </w:pPr>
            <w:r>
              <w:rPr>
                <w:rFonts w:ascii="宋体" w:hAnsi="宋体" w:eastAsia="宋体" w:cs="宋体"/>
                <w:sz w:val="16"/>
              </w:rPr>
              <w:t>行政审批服务科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0" w:type="dxa"/>
            <w:left w:w="29" w:type="dxa"/>
            <w:bottom w:w="0" w:type="dxa"/>
            <w:right w:w="4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1"/>
              <w:jc w:val="center"/>
            </w:pPr>
            <w:r>
              <w:rPr>
                <w:rFonts w:ascii="宋体" w:hAnsi="宋体" w:eastAsia="宋体" w:cs="宋体"/>
                <w:sz w:val="16"/>
              </w:rPr>
              <w:t>4</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房地产开发企业将已经抵押的商品房进行预售、销售，未书面告知抵押权人和买受人；将已经预售、销售的商品房进行抵押的处罚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0"/>
              <w:jc w:val="center"/>
            </w:pPr>
            <w:r>
              <w:rPr>
                <w:rFonts w:ascii="宋体" w:hAnsi="宋体" w:eastAsia="宋体" w:cs="宋体"/>
                <w:sz w:val="16"/>
              </w:rPr>
              <w:t xml:space="preserve"> 《河南省城市房地产开发经营管理条例》</w:t>
            </w:r>
          </w:p>
        </w:tc>
        <w:tc>
          <w:tcPr>
            <w:tcW w:w="1565" w:type="dxa"/>
            <w:vMerge w:val="restart"/>
            <w:tcBorders>
              <w:top w:val="single" w:color="000000" w:sz="8" w:space="0"/>
              <w:left w:val="single" w:color="000000" w:sz="8" w:space="0"/>
              <w:bottom w:val="single" w:color="000000" w:sz="8" w:space="0"/>
              <w:right w:val="single" w:color="000000" w:sz="8" w:space="0"/>
            </w:tcBorders>
            <w:vAlign w:val="center"/>
          </w:tcPr>
          <w:p>
            <w:pPr>
              <w:spacing w:after="0"/>
              <w:ind w:left="117"/>
              <w:jc w:val="both"/>
            </w:pPr>
            <w:r>
              <w:rPr>
                <w:rFonts w:ascii="宋体" w:hAnsi="宋体" w:eastAsia="宋体" w:cs="宋体"/>
                <w:sz w:val="16"/>
              </w:rPr>
              <w:t>房地产开发管理科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0" w:type="dxa"/>
            <w:left w:w="29" w:type="dxa"/>
            <w:bottom w:w="0" w:type="dxa"/>
            <w:right w:w="4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1"/>
              <w:jc w:val="center"/>
            </w:pPr>
            <w:r>
              <w:rPr>
                <w:rFonts w:ascii="宋体" w:hAnsi="宋体" w:eastAsia="宋体" w:cs="宋体"/>
                <w:sz w:val="16"/>
              </w:rPr>
              <w:t>5</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26"/>
              <w:jc w:val="center"/>
            </w:pPr>
            <w:r>
              <w:rPr>
                <w:rFonts w:ascii="宋体" w:hAnsi="宋体" w:eastAsia="宋体" w:cs="宋体"/>
                <w:sz w:val="16"/>
              </w:rPr>
              <w:t>房地产开发企业未按规定向买受人提供商品房质量保证书和使用说明书的处罚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0"/>
              <w:jc w:val="center"/>
            </w:pPr>
            <w:r>
              <w:rPr>
                <w:rFonts w:ascii="宋体" w:hAnsi="宋体" w:eastAsia="宋体" w:cs="宋体"/>
                <w:sz w:val="16"/>
              </w:rPr>
              <w:t>《河南省城市房地产开发经营管理条例》</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0" w:type="dxa"/>
            <w:left w:w="29" w:type="dxa"/>
            <w:bottom w:w="0" w:type="dxa"/>
            <w:right w:w="4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1"/>
              <w:jc w:val="center"/>
            </w:pPr>
            <w:r>
              <w:rPr>
                <w:rFonts w:ascii="宋体" w:hAnsi="宋体" w:eastAsia="宋体" w:cs="宋体"/>
                <w:sz w:val="16"/>
              </w:rPr>
              <w:t>6</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pPr>
            <w:r>
              <w:rPr>
                <w:rFonts w:ascii="宋体" w:hAnsi="宋体" w:eastAsia="宋体" w:cs="宋体"/>
                <w:sz w:val="16"/>
              </w:rPr>
              <w:t>房地产开发企业擅自改变房地产开发项目中涉及公共安全和公众利益的内容，侵害买受人利益的处罚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0"/>
              <w:jc w:val="center"/>
            </w:pPr>
            <w:r>
              <w:rPr>
                <w:rFonts w:ascii="宋体" w:hAnsi="宋体" w:eastAsia="宋体" w:cs="宋体"/>
                <w:sz w:val="16"/>
              </w:rPr>
              <w:t>《河南省城市房地产开发经营管理条例》</w:t>
            </w:r>
          </w:p>
        </w:tc>
        <w:tc>
          <w:tcPr>
            <w:tcW w:w="0" w:type="auto"/>
            <w:vMerge w:val="continue"/>
            <w:tcBorders>
              <w:top w:val="nil"/>
              <w:left w:val="single" w:color="000000" w:sz="8" w:space="0"/>
              <w:bottom w:val="single" w:color="000000" w:sz="8" w:space="0"/>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0" w:type="dxa"/>
            <w:left w:w="29" w:type="dxa"/>
            <w:bottom w:w="0" w:type="dxa"/>
            <w:right w:w="4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1"/>
              <w:jc w:val="center"/>
            </w:pPr>
            <w:r>
              <w:rPr>
                <w:rFonts w:ascii="宋体" w:hAnsi="宋体" w:eastAsia="宋体" w:cs="宋体"/>
                <w:sz w:val="16"/>
              </w:rPr>
              <w:t>7</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27"/>
              <w:jc w:val="center"/>
            </w:pPr>
            <w:r>
              <w:rPr>
                <w:rFonts w:ascii="宋体" w:hAnsi="宋体" w:eastAsia="宋体" w:cs="宋体"/>
                <w:sz w:val="16"/>
              </w:rPr>
              <w:t>隐瞒真实情况骗取资质证书或伪造、涂改、租借、受让资质证书开发房地产的处罚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0"/>
              <w:jc w:val="center"/>
            </w:pPr>
            <w:r>
              <w:rPr>
                <w:rFonts w:ascii="宋体" w:hAnsi="宋体" w:eastAsia="宋体" w:cs="宋体"/>
                <w:sz w:val="16"/>
              </w:rPr>
              <w:t>《河南省城市房地产开发经营管理条例》</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行政审批服务科、房地产开发管理科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0" w:type="dxa"/>
            <w:left w:w="29" w:type="dxa"/>
            <w:bottom w:w="0" w:type="dxa"/>
            <w:right w:w="4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1"/>
              <w:jc w:val="center"/>
            </w:pPr>
            <w:r>
              <w:rPr>
                <w:rFonts w:ascii="宋体" w:hAnsi="宋体" w:eastAsia="宋体" w:cs="宋体"/>
                <w:sz w:val="16"/>
              </w:rPr>
              <w:t>8</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pPr>
            <w:r>
              <w:rPr>
                <w:rFonts w:ascii="宋体" w:hAnsi="宋体" w:eastAsia="宋体" w:cs="宋体"/>
                <w:sz w:val="16"/>
              </w:rPr>
              <w:t>房地产企业隐瞒真实情况、弄虚作假骗取资质证书；涂改、出租、出借、转让、出卖资质证书的处罚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27"/>
              <w:jc w:val="center"/>
            </w:pPr>
            <w:r>
              <w:rPr>
                <w:rFonts w:ascii="宋体" w:hAnsi="宋体" w:eastAsia="宋体" w:cs="宋体"/>
                <w:sz w:val="16"/>
              </w:rPr>
              <w:t>房地产开发企业资质管理规定》（建设部令第77号）</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行政审批服务科、房地产开发管理科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0" w:type="dxa"/>
            <w:left w:w="29" w:type="dxa"/>
            <w:bottom w:w="0" w:type="dxa"/>
            <w:right w:w="4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1"/>
              <w:jc w:val="center"/>
            </w:pPr>
            <w:r>
              <w:rPr>
                <w:rFonts w:ascii="宋体" w:hAnsi="宋体" w:eastAsia="宋体" w:cs="宋体"/>
                <w:sz w:val="16"/>
              </w:rPr>
              <w:t>9</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29"/>
              <w:jc w:val="center"/>
            </w:pPr>
            <w:r>
              <w:rPr>
                <w:rFonts w:ascii="宋体" w:hAnsi="宋体" w:eastAsia="宋体" w:cs="宋体"/>
                <w:sz w:val="16"/>
              </w:rPr>
              <w:t>企业在商品住宅销售中不按照规定发放《住宅质量保证书》和《住宅使用说明书》的处罚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0"/>
              <w:jc w:val="center"/>
            </w:pPr>
            <w:r>
              <w:rPr>
                <w:rFonts w:ascii="宋体" w:hAnsi="宋体" w:eastAsia="宋体" w:cs="宋体"/>
                <w:sz w:val="16"/>
              </w:rPr>
              <w:t>《房地产开发企业资质管理规定》（建设部令第77号）</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117"/>
              <w:jc w:val="both"/>
            </w:pPr>
            <w:r>
              <w:rPr>
                <w:rFonts w:ascii="宋体" w:hAnsi="宋体" w:eastAsia="宋体" w:cs="宋体"/>
                <w:sz w:val="16"/>
              </w:rPr>
              <w:t>房地产开发管理科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0" w:type="dxa"/>
            <w:left w:w="29" w:type="dxa"/>
            <w:bottom w:w="0" w:type="dxa"/>
            <w:right w:w="4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1"/>
              <w:jc w:val="center"/>
            </w:pPr>
            <w:r>
              <w:rPr>
                <w:rFonts w:ascii="宋体" w:hAnsi="宋体" w:eastAsia="宋体" w:cs="宋体"/>
                <w:sz w:val="16"/>
              </w:rPr>
              <w:t>10</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1"/>
              <w:jc w:val="center"/>
            </w:pPr>
            <w:r>
              <w:rPr>
                <w:rFonts w:ascii="宋体" w:hAnsi="宋体" w:eastAsia="宋体" w:cs="宋体"/>
                <w:sz w:val="16"/>
              </w:rPr>
              <w:t>房地产开发企业不按照规定办理变更手续的处罚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0"/>
              <w:jc w:val="center"/>
            </w:pPr>
            <w:r>
              <w:rPr>
                <w:rFonts w:ascii="宋体" w:hAnsi="宋体" w:eastAsia="宋体" w:cs="宋体"/>
                <w:sz w:val="16"/>
              </w:rPr>
              <w:t>《房地产开发企业资质管理规定》（建设部令第77号）</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199"/>
            </w:pPr>
            <w:r>
              <w:rPr>
                <w:rFonts w:ascii="宋体" w:hAnsi="宋体" w:eastAsia="宋体" w:cs="宋体"/>
                <w:sz w:val="16"/>
              </w:rPr>
              <w:t>行政审批服务科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0" w:type="dxa"/>
            <w:left w:w="29" w:type="dxa"/>
            <w:bottom w:w="0" w:type="dxa"/>
            <w:right w:w="4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1"/>
              <w:jc w:val="center"/>
            </w:pPr>
            <w:r>
              <w:rPr>
                <w:rFonts w:ascii="宋体" w:hAnsi="宋体" w:eastAsia="宋体" w:cs="宋体"/>
                <w:sz w:val="16"/>
              </w:rPr>
              <w:t>11</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1"/>
              <w:jc w:val="center"/>
            </w:pPr>
            <w:r>
              <w:rPr>
                <w:rFonts w:ascii="宋体" w:hAnsi="宋体" w:eastAsia="宋体" w:cs="宋体"/>
                <w:sz w:val="16"/>
              </w:rPr>
              <w:t>未取得房地产开发企业资质证书，擅自销售商品房的处罚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29"/>
              <w:jc w:val="center"/>
            </w:pPr>
            <w:r>
              <w:rPr>
                <w:rFonts w:ascii="宋体" w:hAnsi="宋体" w:eastAsia="宋体" w:cs="宋体"/>
                <w:sz w:val="16"/>
              </w:rPr>
              <w:t>《商品房销售管理办法》(建设部令第88号)</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117"/>
              <w:jc w:val="both"/>
            </w:pPr>
            <w:r>
              <w:rPr>
                <w:rFonts w:ascii="宋体" w:hAnsi="宋体" w:eastAsia="宋体" w:cs="宋体"/>
                <w:sz w:val="16"/>
              </w:rPr>
              <w:t>房地产开发管理科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0" w:type="dxa"/>
            <w:left w:w="29" w:type="dxa"/>
            <w:bottom w:w="0" w:type="dxa"/>
            <w:right w:w="4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1"/>
              <w:jc w:val="center"/>
            </w:pPr>
            <w:r>
              <w:rPr>
                <w:rFonts w:ascii="宋体" w:hAnsi="宋体" w:eastAsia="宋体" w:cs="宋体"/>
                <w:sz w:val="16"/>
              </w:rPr>
              <w:t>12</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29"/>
              <w:jc w:val="center"/>
            </w:pPr>
            <w:r>
              <w:rPr>
                <w:rFonts w:ascii="宋体" w:hAnsi="宋体" w:eastAsia="宋体" w:cs="宋体"/>
                <w:sz w:val="16"/>
              </w:rPr>
              <w:t>在未解除商品房买卖合同前，将作为合同标的物的商品房再行销售给他人的处罚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29"/>
              <w:jc w:val="center"/>
            </w:pPr>
            <w:r>
              <w:rPr>
                <w:rFonts w:ascii="宋体" w:hAnsi="宋体" w:eastAsia="宋体" w:cs="宋体"/>
                <w:sz w:val="16"/>
              </w:rPr>
              <w:t>《商品房销售管理办法》(建设部令第88号)</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117"/>
              <w:jc w:val="both"/>
            </w:pPr>
            <w:r>
              <w:rPr>
                <w:rFonts w:ascii="宋体" w:hAnsi="宋体" w:eastAsia="宋体" w:cs="宋体"/>
                <w:sz w:val="16"/>
              </w:rPr>
              <w:t>房地产开发管理科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bl>
    <w:p>
      <w:pPr>
        <w:spacing w:after="0"/>
        <w:ind w:left="-1440" w:right="15394"/>
      </w:pPr>
    </w:p>
    <w:tbl>
      <w:tblPr>
        <w:tblStyle w:val="7"/>
        <w:tblW w:w="15775" w:type="dxa"/>
        <w:tblInd w:w="-1080" w:type="dxa"/>
        <w:tblLayout w:type="autofit"/>
        <w:tblCellMar>
          <w:top w:w="0" w:type="dxa"/>
          <w:left w:w="29" w:type="dxa"/>
          <w:bottom w:w="0" w:type="dxa"/>
          <w:right w:w="52" w:type="dxa"/>
        </w:tblCellMar>
      </w:tblPr>
      <w:tblGrid>
        <w:gridCol w:w="662"/>
        <w:gridCol w:w="7687"/>
        <w:gridCol w:w="4766"/>
        <w:gridCol w:w="1565"/>
        <w:gridCol w:w="1095"/>
      </w:tblGrid>
      <w:tr>
        <w:tblPrEx>
          <w:tblCellMar>
            <w:top w:w="0" w:type="dxa"/>
            <w:left w:w="29" w:type="dxa"/>
            <w:bottom w:w="0" w:type="dxa"/>
            <w:right w:w="52" w:type="dxa"/>
          </w:tblCellMar>
        </w:tblPrEx>
        <w:trPr>
          <w:trHeight w:val="542"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49"/>
            </w:pPr>
            <w:r>
              <w:rPr>
                <w:rFonts w:ascii="黑体" w:hAnsi="黑体" w:eastAsia="黑体" w:cs="黑体"/>
                <w:sz w:val="16"/>
              </w:rPr>
              <w:t>序号</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6"/>
              <w:jc w:val="center"/>
            </w:pPr>
            <w:r>
              <w:rPr>
                <w:rFonts w:ascii="黑体" w:hAnsi="黑体" w:eastAsia="黑体" w:cs="黑体"/>
                <w:sz w:val="16"/>
              </w:rPr>
              <w:t>违法行为</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8"/>
              <w:jc w:val="center"/>
            </w:pPr>
            <w:r>
              <w:rPr>
                <w:rFonts w:ascii="黑体" w:hAnsi="黑体" w:eastAsia="黑体" w:cs="黑体"/>
                <w:sz w:val="16"/>
              </w:rPr>
              <w:t>行政处罚实施依据</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39"/>
              <w:jc w:val="center"/>
            </w:pPr>
            <w:r>
              <w:rPr>
                <w:rFonts w:ascii="黑体" w:hAnsi="黑体" w:eastAsia="黑体" w:cs="黑体"/>
                <w:sz w:val="16"/>
              </w:rPr>
              <w:t>责任科室</w:t>
            </w:r>
          </w:p>
        </w:tc>
        <w:tc>
          <w:tcPr>
            <w:tcW w:w="1094" w:type="dxa"/>
            <w:tcBorders>
              <w:top w:val="single" w:color="000000" w:sz="8" w:space="0"/>
              <w:left w:val="single" w:color="000000" w:sz="8" w:space="0"/>
              <w:bottom w:val="single" w:color="000000" w:sz="8" w:space="0"/>
              <w:right w:val="single" w:color="000000" w:sz="8" w:space="0"/>
            </w:tcBorders>
            <w:vAlign w:val="center"/>
          </w:tcPr>
          <w:p>
            <w:pPr>
              <w:spacing w:after="0"/>
              <w:ind w:left="38"/>
              <w:jc w:val="center"/>
            </w:pPr>
            <w:r>
              <w:rPr>
                <w:rFonts w:ascii="黑体" w:hAnsi="黑体" w:eastAsia="黑体" w:cs="黑体"/>
                <w:sz w:val="16"/>
              </w:rPr>
              <w:t>备注</w:t>
            </w:r>
          </w:p>
        </w:tc>
      </w:tr>
      <w:tr>
        <w:tblPrEx>
          <w:tblCellMar>
            <w:top w:w="0" w:type="dxa"/>
            <w:left w:w="29" w:type="dxa"/>
            <w:bottom w:w="0" w:type="dxa"/>
            <w:right w:w="52" w:type="dxa"/>
          </w:tblCellMar>
        </w:tblPrEx>
        <w:trPr>
          <w:trHeight w:val="1356"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13</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1" w:line="231" w:lineRule="auto"/>
            </w:pPr>
            <w:r>
              <w:rPr>
                <w:rFonts w:ascii="宋体" w:hAnsi="宋体" w:eastAsia="宋体" w:cs="宋体"/>
                <w:sz w:val="16"/>
              </w:rPr>
              <w:t>房地产开发企业未按照规定的现售条件现售商品房；未按照规定在商品房现售前将房地产开发项目手册及符合商品房现售条件的有关证明文件报送房地产开发主管部门备案；返本销售或者变相返本销售商品房；采取售后包租或者变相售后包租方式销售未竣工商品房；分割拆零销售商品住宅；不符合商品房销售条件，向买受人收取预订款性质费用；未按照规定向买受人明示《商品房销售管理办法》、《商品房买卖合同示范文本</w:t>
            </w:r>
          </w:p>
          <w:p>
            <w:pPr>
              <w:spacing w:after="0"/>
            </w:pPr>
            <w:r>
              <w:rPr>
                <w:rFonts w:ascii="宋体" w:hAnsi="宋体" w:eastAsia="宋体" w:cs="宋体"/>
                <w:sz w:val="16"/>
              </w:rPr>
              <w:t>》、《城市商品房预售管理办法》；委托没有资格的机构代理销售商品房的处罚。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8"/>
              <w:jc w:val="center"/>
            </w:pPr>
            <w:r>
              <w:rPr>
                <w:rFonts w:ascii="宋体" w:hAnsi="宋体" w:eastAsia="宋体" w:cs="宋体"/>
                <w:sz w:val="16"/>
              </w:rPr>
              <w:t>《商品房销售管理办法》(建设部令第88号)</w:t>
            </w:r>
          </w:p>
        </w:tc>
        <w:tc>
          <w:tcPr>
            <w:tcW w:w="1565" w:type="dxa"/>
            <w:vMerge w:val="restart"/>
            <w:tcBorders>
              <w:top w:val="single" w:color="000000" w:sz="8" w:space="0"/>
              <w:left w:val="single" w:color="000000" w:sz="8" w:space="0"/>
              <w:bottom w:val="single" w:color="000000" w:sz="8" w:space="0"/>
              <w:right w:val="single" w:color="000000" w:sz="8" w:space="0"/>
            </w:tcBorders>
            <w:vAlign w:val="center"/>
          </w:tcPr>
          <w:p>
            <w:pPr>
              <w:spacing w:after="0"/>
              <w:ind w:left="117"/>
              <w:jc w:val="both"/>
            </w:pPr>
            <w:r>
              <w:rPr>
                <w:rFonts w:ascii="宋体" w:hAnsi="宋体" w:eastAsia="宋体" w:cs="宋体"/>
                <w:sz w:val="16"/>
              </w:rPr>
              <w:t>房地产开发管理科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0" w:type="dxa"/>
            <w:left w:w="29" w:type="dxa"/>
            <w:bottom w:w="0" w:type="dxa"/>
            <w:right w:w="5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14</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7"/>
              <w:jc w:val="center"/>
            </w:pPr>
            <w:r>
              <w:rPr>
                <w:rFonts w:ascii="宋体" w:hAnsi="宋体" w:eastAsia="宋体" w:cs="宋体"/>
                <w:sz w:val="16"/>
              </w:rPr>
              <w:t>房地产中介服务机构代理销售不符合销售条件的商品房的处罚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8"/>
              <w:jc w:val="center"/>
            </w:pPr>
            <w:r>
              <w:rPr>
                <w:rFonts w:ascii="宋体" w:hAnsi="宋体" w:eastAsia="宋体" w:cs="宋体"/>
                <w:sz w:val="16"/>
              </w:rPr>
              <w:t>《商品房销售管理办法》(建设部令第88号)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0" w:type="dxa"/>
            <w:left w:w="29" w:type="dxa"/>
            <w:bottom w:w="0" w:type="dxa"/>
            <w:right w:w="5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15</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8"/>
              <w:jc w:val="center"/>
            </w:pPr>
            <w:r>
              <w:rPr>
                <w:rFonts w:ascii="宋体" w:hAnsi="宋体" w:eastAsia="宋体" w:cs="宋体"/>
                <w:sz w:val="16"/>
              </w:rPr>
              <w:t>开发企业不按规定使用商品房预售款项的处罚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8"/>
              <w:jc w:val="center"/>
            </w:pPr>
            <w:r>
              <w:rPr>
                <w:rFonts w:ascii="宋体" w:hAnsi="宋体" w:eastAsia="宋体" w:cs="宋体"/>
                <w:sz w:val="16"/>
              </w:rPr>
              <w:t>《城市商品房预售管理办法》(建设部令第131号）</w:t>
            </w:r>
          </w:p>
        </w:tc>
        <w:tc>
          <w:tcPr>
            <w:tcW w:w="0" w:type="auto"/>
            <w:vMerge w:val="continue"/>
            <w:tcBorders>
              <w:top w:val="nil"/>
              <w:left w:val="single" w:color="000000" w:sz="8" w:space="0"/>
              <w:bottom w:val="single" w:color="000000" w:sz="8" w:space="0"/>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0" w:type="dxa"/>
            <w:left w:w="29" w:type="dxa"/>
            <w:bottom w:w="0" w:type="dxa"/>
            <w:right w:w="5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16</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202"/>
            </w:pPr>
            <w:r>
              <w:rPr>
                <w:rFonts w:ascii="宋体" w:hAnsi="宋体" w:eastAsia="宋体" w:cs="宋体"/>
                <w:sz w:val="16"/>
              </w:rPr>
              <w:t>开发企业隐瞒有关情况、提供虚假材料，或者采用欺骗、贿赂等不正当手段取得商品房预售许可的处罚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8"/>
              <w:jc w:val="center"/>
            </w:pPr>
            <w:r>
              <w:rPr>
                <w:rFonts w:ascii="宋体" w:hAnsi="宋体" w:eastAsia="宋体" w:cs="宋体"/>
                <w:sz w:val="16"/>
              </w:rPr>
              <w:t>《城市商品房预售管理办法》(建设部令第131号）</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199"/>
            </w:pPr>
            <w:r>
              <w:rPr>
                <w:rFonts w:ascii="宋体" w:hAnsi="宋体" w:eastAsia="宋体" w:cs="宋体"/>
                <w:sz w:val="16"/>
              </w:rPr>
              <w:t>行政审批服务科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0" w:type="dxa"/>
            <w:left w:w="29" w:type="dxa"/>
            <w:bottom w:w="0" w:type="dxa"/>
            <w:right w:w="5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17</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出租属于违法建筑的房屋；出租房屋不符合安全、防灾等工程建设强制标准；出租房屋经鉴定为危险房屋；违反规定改变房屋使用性质；法律、法规规定禁止出租的其他情形的处罚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9"/>
              <w:jc w:val="center"/>
            </w:pPr>
            <w:r>
              <w:rPr>
                <w:rFonts w:ascii="宋体" w:hAnsi="宋体" w:eastAsia="宋体" w:cs="宋体"/>
                <w:sz w:val="16"/>
              </w:rPr>
              <w:t>《商品房屋租赁管理办法》（住房和建设部令第6号）</w:t>
            </w:r>
          </w:p>
        </w:tc>
        <w:tc>
          <w:tcPr>
            <w:tcW w:w="1565" w:type="dxa"/>
            <w:vMerge w:val="restart"/>
            <w:tcBorders>
              <w:top w:val="single" w:color="000000" w:sz="8" w:space="0"/>
              <w:left w:val="single" w:color="000000" w:sz="8" w:space="0"/>
              <w:bottom w:val="single" w:color="000000" w:sz="8" w:space="0"/>
              <w:right w:val="single" w:color="000000" w:sz="8" w:space="0"/>
            </w:tcBorders>
            <w:vAlign w:val="center"/>
          </w:tcPr>
          <w:p>
            <w:pPr>
              <w:spacing w:after="0"/>
              <w:ind w:left="117"/>
              <w:jc w:val="both"/>
            </w:pPr>
            <w:r>
              <w:rPr>
                <w:rFonts w:ascii="宋体" w:hAnsi="宋体" w:eastAsia="宋体" w:cs="宋体"/>
                <w:sz w:val="16"/>
              </w:rPr>
              <w:t>房地产开发管理科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0" w:type="dxa"/>
            <w:left w:w="29" w:type="dxa"/>
            <w:bottom w:w="0" w:type="dxa"/>
            <w:right w:w="5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18</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不以原设计的房间为最小出租单位，人均租住面积低于最低标准；厨房、卫生间、阳台和地下储藏室出租供人员居的处罚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9"/>
              <w:jc w:val="center"/>
            </w:pPr>
            <w:r>
              <w:rPr>
                <w:rFonts w:ascii="宋体" w:hAnsi="宋体" w:eastAsia="宋体" w:cs="宋体"/>
                <w:sz w:val="16"/>
              </w:rPr>
              <w:t>《商品房屋租赁管理办法》（住房和建设部令第6号）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0" w:type="dxa"/>
            <w:left w:w="29" w:type="dxa"/>
            <w:bottom w:w="0" w:type="dxa"/>
            <w:right w:w="52" w:type="dxa"/>
          </w:tblCellMar>
        </w:tblPrEx>
        <w:trPr>
          <w:trHeight w:val="794"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19</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房屋租赁合同订立后三十日内不办理房屋租赁登记备案；房屋租赁登记备案内容发生变化、续租或者租赁终止三十日内不办理变更、延续或者注销手续的处罚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9"/>
              <w:jc w:val="center"/>
            </w:pPr>
            <w:r>
              <w:rPr>
                <w:rFonts w:ascii="宋体" w:hAnsi="宋体" w:eastAsia="宋体" w:cs="宋体"/>
                <w:sz w:val="16"/>
              </w:rPr>
              <w:t xml:space="preserve">《商品房屋租赁管理办法》（住房和建设部令第6号） </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0" w:type="dxa"/>
            <w:left w:w="29" w:type="dxa"/>
            <w:bottom w:w="0" w:type="dxa"/>
            <w:right w:w="5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20</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9"/>
              <w:jc w:val="center"/>
            </w:pPr>
            <w:r>
              <w:rPr>
                <w:rFonts w:ascii="宋体" w:hAnsi="宋体" w:eastAsia="宋体" w:cs="宋体"/>
                <w:sz w:val="16"/>
              </w:rPr>
              <w:t>房地产估价机构违规设立分支机构、新设立分支机构不备案的处罚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267"/>
            </w:pPr>
            <w:r>
              <w:rPr>
                <w:rFonts w:ascii="宋体" w:hAnsi="宋体" w:eastAsia="宋体" w:cs="宋体"/>
                <w:sz w:val="16"/>
              </w:rPr>
              <w:t>《房地产估价机构管理办法》(住房和城乡建设部令第14号)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0" w:type="dxa"/>
            <w:left w:w="29" w:type="dxa"/>
            <w:bottom w:w="0" w:type="dxa"/>
            <w:right w:w="5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21</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9"/>
              <w:jc w:val="center"/>
            </w:pPr>
            <w:r>
              <w:rPr>
                <w:rFonts w:ascii="宋体" w:hAnsi="宋体" w:eastAsia="宋体" w:cs="宋体"/>
                <w:sz w:val="16"/>
              </w:rPr>
              <w:t>房地产估价机构违规承揽业务、擅自转让受托的估价业务、违规出具估价报告的处罚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226"/>
            </w:pPr>
            <w:r>
              <w:rPr>
                <w:rFonts w:ascii="宋体" w:hAnsi="宋体" w:eastAsia="宋体" w:cs="宋体"/>
                <w:sz w:val="16"/>
              </w:rPr>
              <w:t xml:space="preserve"> 《房地产估价机构管理办法》(住房和城乡建设部令第14号)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0" w:type="dxa"/>
            <w:left w:w="29" w:type="dxa"/>
            <w:bottom w:w="0" w:type="dxa"/>
            <w:right w:w="5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22</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房地产估价机构及其估价人员应当回避未回避的处罚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267"/>
            </w:pPr>
            <w:r>
              <w:rPr>
                <w:rFonts w:ascii="宋体" w:hAnsi="宋体" w:eastAsia="宋体" w:cs="宋体"/>
                <w:sz w:val="16"/>
              </w:rPr>
              <w:t>《房地产估价机构管理办法》(住房和城乡建设部令第14号)</w:t>
            </w:r>
          </w:p>
        </w:tc>
        <w:tc>
          <w:tcPr>
            <w:tcW w:w="0" w:type="auto"/>
            <w:vMerge w:val="continue"/>
            <w:tcBorders>
              <w:top w:val="nil"/>
              <w:left w:val="single" w:color="000000" w:sz="8" w:space="0"/>
              <w:bottom w:val="single" w:color="000000" w:sz="8" w:space="0"/>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0" w:type="dxa"/>
            <w:left w:w="29" w:type="dxa"/>
            <w:bottom w:w="0" w:type="dxa"/>
            <w:right w:w="52" w:type="dxa"/>
          </w:tblCellMar>
        </w:tblPrEx>
        <w:trPr>
          <w:trHeight w:val="986"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23</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pPr>
            <w:r>
              <w:rPr>
                <w:rFonts w:ascii="宋体" w:hAnsi="宋体" w:eastAsia="宋体" w:cs="宋体"/>
                <w:sz w:val="16"/>
              </w:rPr>
              <w:t>房地产估价机构涂改、倒卖、出租、出借或者以其他形式非法转让资质证书；超越资质等级业务范围承接房地产估价业务；以迎合高估或者低估要求、给予回扣、恶意压低收费等方式进行不正当竞争；违反房地产估价规范和标准；出具有虚假记载、误导性陈述或者重大遗漏的估价报告；擅自设立分支机构；未经委托人书面同意，擅自转让受托的估价业务；有法律、法规禁止的其他行为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267"/>
            </w:pPr>
            <w:r>
              <w:rPr>
                <w:rFonts w:ascii="宋体" w:hAnsi="宋体" w:eastAsia="宋体" w:cs="宋体"/>
                <w:sz w:val="16"/>
              </w:rPr>
              <w:t>《房地产估价机构管理办法》(住房和城乡建设部令第14号)</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117"/>
              <w:jc w:val="both"/>
            </w:pPr>
            <w:r>
              <w:rPr>
                <w:rFonts w:ascii="宋体" w:hAnsi="宋体" w:eastAsia="宋体" w:cs="宋体"/>
                <w:sz w:val="16"/>
              </w:rPr>
              <w:t>房地产开发管理科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0" w:type="dxa"/>
            <w:left w:w="29" w:type="dxa"/>
            <w:bottom w:w="0" w:type="dxa"/>
            <w:right w:w="5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24</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9"/>
              <w:jc w:val="center"/>
            </w:pPr>
            <w:r>
              <w:rPr>
                <w:rFonts w:ascii="宋体" w:hAnsi="宋体" w:eastAsia="宋体" w:cs="宋体"/>
                <w:sz w:val="16"/>
              </w:rPr>
              <w:t>以欺骗、贿赂等不正当手段取得房地产估价机构资质的处罚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7"/>
              <w:jc w:val="center"/>
            </w:pPr>
            <w:r>
              <w:rPr>
                <w:rFonts w:ascii="宋体" w:hAnsi="宋体" w:eastAsia="宋体" w:cs="宋体"/>
                <w:sz w:val="16"/>
              </w:rPr>
              <w:t>《房地产估价机构管理办法》</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199"/>
            </w:pPr>
            <w:r>
              <w:rPr>
                <w:rFonts w:ascii="宋体" w:hAnsi="宋体" w:eastAsia="宋体" w:cs="宋体"/>
                <w:sz w:val="16"/>
              </w:rPr>
              <w:t>行政审批服务科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bl>
    <w:p>
      <w:pPr>
        <w:spacing w:after="0"/>
        <w:ind w:left="-1440" w:right="15394"/>
      </w:pPr>
    </w:p>
    <w:tbl>
      <w:tblPr>
        <w:tblStyle w:val="7"/>
        <w:tblW w:w="15775" w:type="dxa"/>
        <w:tblInd w:w="-1080" w:type="dxa"/>
        <w:tblLayout w:type="autofit"/>
        <w:tblCellMar>
          <w:top w:w="75" w:type="dxa"/>
          <w:left w:w="29" w:type="dxa"/>
          <w:bottom w:w="75" w:type="dxa"/>
          <w:right w:w="88" w:type="dxa"/>
        </w:tblCellMar>
      </w:tblPr>
      <w:tblGrid>
        <w:gridCol w:w="662"/>
        <w:gridCol w:w="7687"/>
        <w:gridCol w:w="4766"/>
        <w:gridCol w:w="1565"/>
        <w:gridCol w:w="1095"/>
      </w:tblGrid>
      <w:tr>
        <w:tblPrEx>
          <w:tblCellMar>
            <w:top w:w="75" w:type="dxa"/>
            <w:left w:w="29" w:type="dxa"/>
            <w:bottom w:w="75" w:type="dxa"/>
            <w:right w:w="88" w:type="dxa"/>
          </w:tblCellMar>
        </w:tblPrEx>
        <w:trPr>
          <w:trHeight w:val="542"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49"/>
            </w:pPr>
            <w:r>
              <w:rPr>
                <w:rFonts w:ascii="黑体" w:hAnsi="黑体" w:eastAsia="黑体" w:cs="黑体"/>
                <w:sz w:val="16"/>
              </w:rPr>
              <w:t>序号</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72"/>
              <w:jc w:val="center"/>
            </w:pPr>
            <w:r>
              <w:rPr>
                <w:rFonts w:ascii="黑体" w:hAnsi="黑体" w:eastAsia="黑体" w:cs="黑体"/>
                <w:sz w:val="16"/>
              </w:rPr>
              <w:t>违法行为</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74"/>
              <w:jc w:val="center"/>
            </w:pPr>
            <w:r>
              <w:rPr>
                <w:rFonts w:ascii="黑体" w:hAnsi="黑体" w:eastAsia="黑体" w:cs="黑体"/>
                <w:sz w:val="16"/>
              </w:rPr>
              <w:t>行政处罚实施依据</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75"/>
              <w:jc w:val="center"/>
            </w:pPr>
            <w:r>
              <w:rPr>
                <w:rFonts w:ascii="黑体" w:hAnsi="黑体" w:eastAsia="黑体" w:cs="黑体"/>
                <w:sz w:val="16"/>
              </w:rPr>
              <w:t>责任科室</w:t>
            </w:r>
          </w:p>
        </w:tc>
        <w:tc>
          <w:tcPr>
            <w:tcW w:w="1094" w:type="dxa"/>
            <w:tcBorders>
              <w:top w:val="single" w:color="000000" w:sz="8" w:space="0"/>
              <w:left w:val="single" w:color="000000" w:sz="8" w:space="0"/>
              <w:bottom w:val="single" w:color="000000" w:sz="8" w:space="0"/>
              <w:right w:val="single" w:color="000000" w:sz="8" w:space="0"/>
            </w:tcBorders>
            <w:vAlign w:val="center"/>
          </w:tcPr>
          <w:p>
            <w:pPr>
              <w:spacing w:after="0"/>
              <w:ind w:left="74"/>
              <w:jc w:val="center"/>
            </w:pPr>
            <w:r>
              <w:rPr>
                <w:rFonts w:ascii="黑体" w:hAnsi="黑体" w:eastAsia="黑体" w:cs="黑体"/>
                <w:sz w:val="16"/>
              </w:rPr>
              <w:t>备注</w:t>
            </w:r>
          </w:p>
        </w:tc>
      </w:tr>
      <w:tr>
        <w:tblPrEx>
          <w:tblCellMar>
            <w:top w:w="75" w:type="dxa"/>
            <w:left w:w="29" w:type="dxa"/>
            <w:bottom w:w="75" w:type="dxa"/>
            <w:right w:w="88"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77"/>
              <w:jc w:val="center"/>
            </w:pPr>
            <w:r>
              <w:rPr>
                <w:rFonts w:ascii="宋体" w:hAnsi="宋体" w:eastAsia="宋体" w:cs="宋体"/>
                <w:sz w:val="16"/>
              </w:rPr>
              <w:t>25</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73"/>
              <w:jc w:val="center"/>
            </w:pPr>
            <w:r>
              <w:rPr>
                <w:rFonts w:ascii="宋体" w:hAnsi="宋体" w:eastAsia="宋体" w:cs="宋体"/>
                <w:sz w:val="16"/>
              </w:rPr>
              <w:t>未取得房地产估价机构资质从 事房地产估价活动或者超越资质等级承揽估价业务的处罚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73"/>
              <w:jc w:val="center"/>
            </w:pPr>
            <w:r>
              <w:rPr>
                <w:rFonts w:ascii="宋体" w:hAnsi="宋体" w:eastAsia="宋体" w:cs="宋体"/>
                <w:sz w:val="16"/>
              </w:rPr>
              <w:t>《房地产估价机构管理办法》</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117"/>
              <w:jc w:val="both"/>
            </w:pPr>
            <w:r>
              <w:rPr>
                <w:rFonts w:ascii="宋体" w:hAnsi="宋体" w:eastAsia="宋体" w:cs="宋体"/>
                <w:sz w:val="16"/>
              </w:rPr>
              <w:t>房地产开发管理科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75" w:type="dxa"/>
            <w:left w:w="29" w:type="dxa"/>
            <w:bottom w:w="75" w:type="dxa"/>
            <w:right w:w="88"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77"/>
              <w:jc w:val="center"/>
            </w:pPr>
            <w:r>
              <w:rPr>
                <w:rFonts w:ascii="宋体" w:hAnsi="宋体" w:eastAsia="宋体" w:cs="宋体"/>
                <w:sz w:val="16"/>
              </w:rPr>
              <w:t>26</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77"/>
              <w:jc w:val="center"/>
            </w:pPr>
            <w:r>
              <w:rPr>
                <w:rFonts w:ascii="宋体" w:hAnsi="宋体" w:eastAsia="宋体" w:cs="宋体"/>
                <w:sz w:val="16"/>
              </w:rPr>
              <w:t>房地产估价机构不及时办理资质证书变更手续的处罚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73"/>
              <w:jc w:val="center"/>
            </w:pPr>
            <w:r>
              <w:rPr>
                <w:rFonts w:ascii="宋体" w:hAnsi="宋体" w:eastAsia="宋体" w:cs="宋体"/>
                <w:sz w:val="16"/>
              </w:rPr>
              <w:t>《房地产估价机构管理办法》</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199"/>
            </w:pPr>
            <w:r>
              <w:rPr>
                <w:rFonts w:ascii="宋体" w:hAnsi="宋体" w:eastAsia="宋体" w:cs="宋体"/>
                <w:sz w:val="16"/>
              </w:rPr>
              <w:t>行政审批服务科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75" w:type="dxa"/>
            <w:left w:w="29" w:type="dxa"/>
            <w:bottom w:w="75" w:type="dxa"/>
            <w:right w:w="88"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77"/>
              <w:jc w:val="center"/>
            </w:pPr>
            <w:r>
              <w:rPr>
                <w:rFonts w:ascii="宋体" w:hAnsi="宋体" w:eastAsia="宋体" w:cs="宋体"/>
                <w:sz w:val="16"/>
              </w:rPr>
              <w:t>27</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73"/>
              <w:jc w:val="center"/>
            </w:pPr>
            <w:r>
              <w:rPr>
                <w:rFonts w:ascii="宋体" w:hAnsi="宋体" w:eastAsia="宋体" w:cs="宋体"/>
                <w:sz w:val="16"/>
              </w:rPr>
              <w:t>注册房地产估价师聘用单位为申请人提供虚假注册材料的处罚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74"/>
              <w:jc w:val="center"/>
            </w:pPr>
            <w:r>
              <w:rPr>
                <w:rFonts w:ascii="宋体" w:hAnsi="宋体" w:eastAsia="宋体" w:cs="宋体"/>
                <w:sz w:val="16"/>
              </w:rPr>
              <w:t>《注册房地产估价师管理办法》（建设部令第151号）</w:t>
            </w:r>
          </w:p>
        </w:tc>
        <w:tc>
          <w:tcPr>
            <w:tcW w:w="1565" w:type="dxa"/>
            <w:vMerge w:val="restart"/>
            <w:tcBorders>
              <w:top w:val="single" w:color="000000" w:sz="8" w:space="0"/>
              <w:left w:val="single" w:color="000000" w:sz="8" w:space="0"/>
              <w:bottom w:val="single" w:color="000000" w:sz="8" w:space="0"/>
              <w:right w:val="single" w:color="000000" w:sz="8" w:space="0"/>
            </w:tcBorders>
            <w:vAlign w:val="center"/>
          </w:tcPr>
          <w:p>
            <w:pPr>
              <w:spacing w:after="0"/>
              <w:ind w:left="117"/>
              <w:jc w:val="both"/>
            </w:pPr>
            <w:r>
              <w:rPr>
                <w:rFonts w:ascii="宋体" w:hAnsi="宋体" w:eastAsia="宋体" w:cs="宋体"/>
                <w:sz w:val="16"/>
              </w:rPr>
              <w:t>房地产开发管理科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75" w:type="dxa"/>
            <w:left w:w="29" w:type="dxa"/>
            <w:bottom w:w="75" w:type="dxa"/>
            <w:right w:w="88"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77"/>
              <w:jc w:val="center"/>
            </w:pPr>
            <w:r>
              <w:rPr>
                <w:rFonts w:ascii="宋体" w:hAnsi="宋体" w:eastAsia="宋体" w:cs="宋体"/>
                <w:sz w:val="16"/>
              </w:rPr>
              <w:t>28</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75"/>
              <w:jc w:val="center"/>
            </w:pPr>
            <w:r>
              <w:rPr>
                <w:rFonts w:ascii="宋体" w:hAnsi="宋体" w:eastAsia="宋体" w:cs="宋体"/>
                <w:sz w:val="16"/>
              </w:rPr>
              <w:t>以欺骗、贿赂等不正当手段取得房地产估价师注册证书的处罚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74"/>
              <w:jc w:val="center"/>
            </w:pPr>
            <w:r>
              <w:rPr>
                <w:rFonts w:ascii="宋体" w:hAnsi="宋体" w:eastAsia="宋体" w:cs="宋体"/>
                <w:sz w:val="16"/>
              </w:rPr>
              <w:t>《注册房地产估价师管理办法》（建设部令第151号）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75" w:type="dxa"/>
            <w:left w:w="29" w:type="dxa"/>
            <w:bottom w:w="75" w:type="dxa"/>
            <w:right w:w="88"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77"/>
              <w:jc w:val="center"/>
            </w:pPr>
            <w:r>
              <w:rPr>
                <w:rFonts w:ascii="宋体" w:hAnsi="宋体" w:eastAsia="宋体" w:cs="宋体"/>
                <w:sz w:val="16"/>
              </w:rPr>
              <w:t>29</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75"/>
              <w:jc w:val="center"/>
            </w:pPr>
            <w:r>
              <w:rPr>
                <w:rFonts w:ascii="宋体" w:hAnsi="宋体" w:eastAsia="宋体" w:cs="宋体"/>
                <w:sz w:val="16"/>
              </w:rPr>
              <w:t>未经注册，擅自以注册房地产估价师名义从事房地产估价活动的处罚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74"/>
              <w:jc w:val="center"/>
            </w:pPr>
            <w:r>
              <w:rPr>
                <w:rFonts w:ascii="宋体" w:hAnsi="宋体" w:eastAsia="宋体" w:cs="宋体"/>
                <w:sz w:val="16"/>
              </w:rPr>
              <w:t>《注册房地产估价师管理办法》（建设部令第151号）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75" w:type="dxa"/>
            <w:left w:w="29" w:type="dxa"/>
            <w:bottom w:w="75" w:type="dxa"/>
            <w:right w:w="88"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77"/>
              <w:jc w:val="center"/>
            </w:pPr>
            <w:r>
              <w:rPr>
                <w:rFonts w:ascii="宋体" w:hAnsi="宋体" w:eastAsia="宋体" w:cs="宋体"/>
                <w:sz w:val="16"/>
              </w:rPr>
              <w:t>30</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77"/>
              <w:jc w:val="center"/>
            </w:pPr>
            <w:r>
              <w:rPr>
                <w:rFonts w:ascii="宋体" w:hAnsi="宋体" w:eastAsia="宋体" w:cs="宋体"/>
                <w:sz w:val="16"/>
              </w:rPr>
              <w:t>注册房地产估价师未办理变更注册仍执业的处罚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74"/>
              <w:jc w:val="center"/>
            </w:pPr>
            <w:r>
              <w:rPr>
                <w:rFonts w:ascii="宋体" w:hAnsi="宋体" w:eastAsia="宋体" w:cs="宋体"/>
                <w:sz w:val="16"/>
              </w:rPr>
              <w:t>《注册房地产估价师管理办法》（建设部令第151号）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75" w:type="dxa"/>
            <w:left w:w="29" w:type="dxa"/>
            <w:bottom w:w="75" w:type="dxa"/>
            <w:right w:w="88" w:type="dxa"/>
          </w:tblCellMar>
        </w:tblPrEx>
        <w:trPr>
          <w:trHeight w:val="12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77"/>
              <w:jc w:val="center"/>
            </w:pPr>
            <w:r>
              <w:rPr>
                <w:rFonts w:ascii="宋体" w:hAnsi="宋体" w:eastAsia="宋体" w:cs="宋体"/>
                <w:sz w:val="16"/>
              </w:rPr>
              <w:t>31</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pPr>
            <w:r>
              <w:rPr>
                <w:rFonts w:ascii="宋体" w:hAnsi="宋体" w:eastAsia="宋体" w:cs="宋体"/>
                <w:sz w:val="16"/>
              </w:rPr>
              <w:t>注册房地产估价师不履行注册房地产估价师义务；在执业过程中，索贿、受贿或者谋取合同约定费用外的其他利益；在执业过程中实施商业贿赂；签署有虚假记载、误导性陈述或者重大遗漏的估价报告；在估价报告中隐瞒或者歪曲事实；允许他人以自己的名义从事房地产估价业务；同时在2个或者2个以上房地产估价机构执业；以个人名义承揽房地产估价业务；涂改、出租、出借或者以其他形式非法转让注册证书；超出聘用单位业务范围从事房地产估价活动；严重损害他人利益、名誉的行为；有法律、法规禁止的其他行为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75"/>
              <w:jc w:val="center"/>
            </w:pPr>
            <w:r>
              <w:rPr>
                <w:rFonts w:ascii="宋体" w:hAnsi="宋体" w:eastAsia="宋体" w:cs="宋体"/>
                <w:sz w:val="16"/>
              </w:rPr>
              <w:t xml:space="preserve"> 《注册房地产估价师管理办法》（建设部令第151号）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75" w:type="dxa"/>
            <w:left w:w="29" w:type="dxa"/>
            <w:bottom w:w="75" w:type="dxa"/>
            <w:right w:w="88"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77"/>
              <w:jc w:val="center"/>
            </w:pPr>
            <w:r>
              <w:rPr>
                <w:rFonts w:ascii="宋体" w:hAnsi="宋体" w:eastAsia="宋体" w:cs="宋体"/>
                <w:sz w:val="16"/>
              </w:rPr>
              <w:t>32</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75"/>
              <w:jc w:val="center"/>
            </w:pPr>
            <w:r>
              <w:rPr>
                <w:rFonts w:ascii="宋体" w:hAnsi="宋体" w:eastAsia="宋体" w:cs="宋体"/>
                <w:sz w:val="16"/>
              </w:rPr>
              <w:t>注册房地产估价师或者其聘用单位未按照要求提供房地产估价师信用档案信息的处罚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74"/>
              <w:jc w:val="center"/>
            </w:pPr>
            <w:r>
              <w:rPr>
                <w:rFonts w:ascii="宋体" w:hAnsi="宋体" w:eastAsia="宋体" w:cs="宋体"/>
                <w:sz w:val="16"/>
              </w:rPr>
              <w:t>《注册房地产估价师管理办法》（建设部令第151号）</w:t>
            </w:r>
          </w:p>
        </w:tc>
        <w:tc>
          <w:tcPr>
            <w:tcW w:w="0" w:type="auto"/>
            <w:vMerge w:val="continue"/>
            <w:tcBorders>
              <w:top w:val="nil"/>
              <w:left w:val="single" w:color="000000" w:sz="8" w:space="0"/>
              <w:bottom w:val="single" w:color="000000" w:sz="8" w:space="0"/>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75" w:type="dxa"/>
            <w:left w:w="29" w:type="dxa"/>
            <w:bottom w:w="75" w:type="dxa"/>
            <w:right w:w="88" w:type="dxa"/>
          </w:tblCellMar>
        </w:tblPrEx>
        <w:trPr>
          <w:trHeight w:val="1181"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77"/>
              <w:jc w:val="center"/>
            </w:pPr>
            <w:r>
              <w:rPr>
                <w:rFonts w:ascii="宋体" w:hAnsi="宋体" w:eastAsia="宋体" w:cs="宋体"/>
                <w:sz w:val="16"/>
              </w:rPr>
              <w:t>33</w:t>
            </w:r>
          </w:p>
        </w:tc>
        <w:tc>
          <w:tcPr>
            <w:tcW w:w="7687" w:type="dxa"/>
            <w:tcBorders>
              <w:top w:val="single" w:color="000000" w:sz="8" w:space="0"/>
              <w:left w:val="single" w:color="000000" w:sz="8" w:space="0"/>
              <w:bottom w:val="single" w:color="000000" w:sz="8" w:space="0"/>
              <w:right w:val="single" w:color="000000" w:sz="8" w:space="0"/>
            </w:tcBorders>
          </w:tcPr>
          <w:p>
            <w:pPr>
              <w:spacing w:after="0"/>
            </w:pPr>
            <w:r>
              <w:rPr>
                <w:rFonts w:ascii="宋体" w:hAnsi="宋体" w:eastAsia="宋体" w:cs="宋体"/>
                <w:sz w:val="16"/>
              </w:rPr>
              <w:t>房地产经纪人员以个人名义承接房地产经纪业务和收取费用；房地产经纪机构提供代办贷款、代办房地产登记等其他服务，未向委托人说明服务内容、收费标准等情况，并未经委托人同意的；房地产经纪服务合同未由从事该业务的一名房地产经纪人或者两名房地产经纪人协理签名；房地产经纪机构签订房地产经纪服务合同前，不向交易当事人说明和书面告知规定事项；房地产经纪机构未按照规定如实记录业务情况或者保存房地产经纪服务合同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74"/>
              <w:jc w:val="center"/>
            </w:pPr>
            <w:r>
              <w:rPr>
                <w:rFonts w:ascii="宋体" w:hAnsi="宋体" w:eastAsia="宋体" w:cs="宋体"/>
                <w:sz w:val="16"/>
              </w:rPr>
              <w:t>《房地产经纪管理办法》(住房城乡建设部令第8号)</w:t>
            </w:r>
          </w:p>
        </w:tc>
        <w:tc>
          <w:tcPr>
            <w:tcW w:w="1565" w:type="dxa"/>
            <w:vMerge w:val="restart"/>
            <w:tcBorders>
              <w:top w:val="single" w:color="000000" w:sz="8" w:space="0"/>
              <w:left w:val="single" w:color="000000" w:sz="8" w:space="0"/>
              <w:bottom w:val="single" w:color="000000" w:sz="8" w:space="0"/>
              <w:right w:val="single" w:color="000000" w:sz="8" w:space="0"/>
            </w:tcBorders>
            <w:vAlign w:val="center"/>
          </w:tcPr>
          <w:p>
            <w:pPr>
              <w:spacing w:after="0"/>
              <w:ind w:left="117"/>
              <w:jc w:val="both"/>
            </w:pPr>
            <w:r>
              <w:rPr>
                <w:rFonts w:ascii="宋体" w:hAnsi="宋体" w:eastAsia="宋体" w:cs="宋体"/>
                <w:sz w:val="16"/>
              </w:rPr>
              <w:t>房地产开发管理科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75" w:type="dxa"/>
            <w:left w:w="29" w:type="dxa"/>
            <w:bottom w:w="75" w:type="dxa"/>
            <w:right w:w="88"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77"/>
              <w:jc w:val="center"/>
            </w:pPr>
            <w:r>
              <w:rPr>
                <w:rFonts w:ascii="宋体" w:hAnsi="宋体" w:eastAsia="宋体" w:cs="宋体"/>
                <w:sz w:val="16"/>
              </w:rPr>
              <w:t>34</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74"/>
              <w:jc w:val="center"/>
            </w:pPr>
            <w:r>
              <w:rPr>
                <w:rFonts w:ascii="宋体" w:hAnsi="宋体" w:eastAsia="宋体" w:cs="宋体"/>
                <w:sz w:val="16"/>
              </w:rPr>
              <w:t>房地产经纪机构擅自对外发布房源信息的处罚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74"/>
              <w:jc w:val="center"/>
            </w:pPr>
            <w:r>
              <w:rPr>
                <w:rFonts w:ascii="宋体" w:hAnsi="宋体" w:eastAsia="宋体" w:cs="宋体"/>
                <w:sz w:val="16"/>
              </w:rPr>
              <w:t>《房地产经纪管理办法》(住房城乡建设部令第8号)</w:t>
            </w:r>
          </w:p>
        </w:tc>
        <w:tc>
          <w:tcPr>
            <w:tcW w:w="0" w:type="auto"/>
            <w:vMerge w:val="continue"/>
            <w:tcBorders>
              <w:top w:val="nil"/>
              <w:left w:val="single" w:color="000000" w:sz="8" w:space="0"/>
              <w:bottom w:val="single" w:color="000000" w:sz="8" w:space="0"/>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75" w:type="dxa"/>
            <w:left w:w="29" w:type="dxa"/>
            <w:bottom w:w="75" w:type="dxa"/>
            <w:right w:w="88"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77"/>
              <w:jc w:val="center"/>
            </w:pPr>
            <w:r>
              <w:rPr>
                <w:rFonts w:ascii="宋体" w:hAnsi="宋体" w:eastAsia="宋体" w:cs="宋体"/>
                <w:sz w:val="16"/>
              </w:rPr>
              <w:t>35</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pPr>
            <w:r>
              <w:rPr>
                <w:rFonts w:ascii="宋体" w:hAnsi="宋体" w:eastAsia="宋体" w:cs="宋体"/>
                <w:sz w:val="16"/>
              </w:rPr>
              <w:t>住宅物业的建设单位未通过招投标的方式选聘物业服务企业或者未经批准，擅自采用协议方式选聘物业服务企业的处罚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75"/>
              <w:jc w:val="center"/>
            </w:pPr>
            <w:r>
              <w:rPr>
                <w:rFonts w:ascii="宋体" w:hAnsi="宋体" w:eastAsia="宋体" w:cs="宋体"/>
                <w:sz w:val="16"/>
              </w:rPr>
              <w:t>《物业管理条例》</w:t>
            </w:r>
          </w:p>
        </w:tc>
        <w:tc>
          <w:tcPr>
            <w:tcW w:w="1565" w:type="dxa"/>
            <w:vMerge w:val="restart"/>
            <w:tcBorders>
              <w:top w:val="single" w:color="000000" w:sz="8" w:space="0"/>
              <w:left w:val="single" w:color="000000" w:sz="8" w:space="0"/>
              <w:bottom w:val="nil"/>
              <w:right w:val="single" w:color="000000" w:sz="8" w:space="0"/>
            </w:tcBorders>
            <w:vAlign w:val="bottom"/>
          </w:tcPr>
          <w:p>
            <w:pPr>
              <w:spacing w:after="0"/>
              <w:ind w:left="76"/>
              <w:jc w:val="center"/>
            </w:pPr>
            <w:r>
              <w:rPr>
                <w:rFonts w:ascii="宋体" w:hAnsi="宋体" w:eastAsia="宋体" w:cs="宋体"/>
                <w:sz w:val="16"/>
              </w:rPr>
              <w:t>物业管理科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75" w:type="dxa"/>
            <w:left w:w="29" w:type="dxa"/>
            <w:bottom w:w="75" w:type="dxa"/>
            <w:right w:w="88" w:type="dxa"/>
          </w:tblCellMar>
        </w:tblPrEx>
        <w:trPr>
          <w:trHeight w:val="165" w:hRule="atLeast"/>
        </w:trPr>
        <w:tc>
          <w:tcPr>
            <w:tcW w:w="662" w:type="dxa"/>
            <w:tcBorders>
              <w:top w:val="single" w:color="000000" w:sz="8" w:space="0"/>
              <w:left w:val="single" w:color="000000" w:sz="8" w:space="0"/>
              <w:bottom w:val="nil"/>
              <w:right w:val="single" w:color="000000" w:sz="8" w:space="0"/>
            </w:tcBorders>
          </w:tcPr>
          <w:p>
            <w:pPr>
              <w:spacing w:after="0"/>
            </w:pPr>
          </w:p>
        </w:tc>
        <w:tc>
          <w:tcPr>
            <w:tcW w:w="7687" w:type="dxa"/>
            <w:tcBorders>
              <w:top w:val="single" w:color="000000" w:sz="8" w:space="0"/>
              <w:left w:val="single" w:color="000000" w:sz="8" w:space="0"/>
              <w:bottom w:val="nil"/>
              <w:right w:val="single" w:color="000000" w:sz="8" w:space="0"/>
            </w:tcBorders>
          </w:tcPr>
          <w:p>
            <w:pPr>
              <w:spacing w:after="0"/>
            </w:pPr>
          </w:p>
        </w:tc>
        <w:tc>
          <w:tcPr>
            <w:tcW w:w="4766" w:type="dxa"/>
            <w:tcBorders>
              <w:top w:val="single" w:color="000000" w:sz="8" w:space="0"/>
              <w:left w:val="single" w:color="000000" w:sz="8" w:space="0"/>
              <w:bottom w:val="nil"/>
              <w:right w:val="single" w:color="000000" w:sz="8" w:space="0"/>
            </w:tcBorders>
          </w:tcPr>
          <w:p>
            <w:pPr>
              <w:spacing w:after="0"/>
            </w:pP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nil"/>
              <w:right w:val="single" w:color="000000" w:sz="8" w:space="0"/>
            </w:tcBorders>
          </w:tcPr>
          <w:p>
            <w:pPr>
              <w:spacing w:after="0"/>
            </w:pPr>
          </w:p>
        </w:tc>
      </w:tr>
      <w:tr>
        <w:tblPrEx>
          <w:tblCellMar>
            <w:top w:w="75" w:type="dxa"/>
            <w:left w:w="29" w:type="dxa"/>
            <w:bottom w:w="75" w:type="dxa"/>
            <w:right w:w="88" w:type="dxa"/>
          </w:tblCellMar>
        </w:tblPrEx>
        <w:trPr>
          <w:trHeight w:val="454" w:hRule="atLeast"/>
        </w:trPr>
        <w:tc>
          <w:tcPr>
            <w:tcW w:w="662" w:type="dxa"/>
            <w:tcBorders>
              <w:top w:val="nil"/>
              <w:left w:val="single" w:color="000000" w:sz="8" w:space="0"/>
              <w:bottom w:val="single" w:color="000000" w:sz="8" w:space="0"/>
              <w:right w:val="single" w:color="000000" w:sz="8" w:space="0"/>
            </w:tcBorders>
          </w:tcPr>
          <w:p>
            <w:pPr>
              <w:spacing w:after="0"/>
              <w:ind w:left="77"/>
              <w:jc w:val="center"/>
            </w:pPr>
            <w:r>
              <w:rPr>
                <w:rFonts w:ascii="宋体" w:hAnsi="宋体" w:eastAsia="宋体" w:cs="宋体"/>
                <w:sz w:val="16"/>
              </w:rPr>
              <w:t>36</w:t>
            </w:r>
          </w:p>
        </w:tc>
        <w:tc>
          <w:tcPr>
            <w:tcW w:w="7687" w:type="dxa"/>
            <w:tcBorders>
              <w:top w:val="nil"/>
              <w:left w:val="single" w:color="000000" w:sz="8" w:space="0"/>
              <w:bottom w:val="single" w:color="000000" w:sz="8" w:space="0"/>
              <w:right w:val="single" w:color="000000" w:sz="8" w:space="0"/>
            </w:tcBorders>
          </w:tcPr>
          <w:p>
            <w:pPr>
              <w:spacing w:after="0"/>
              <w:ind w:left="73"/>
              <w:jc w:val="center"/>
            </w:pPr>
            <w:r>
              <w:rPr>
                <w:rFonts w:ascii="宋体" w:hAnsi="宋体" w:eastAsia="宋体" w:cs="宋体"/>
                <w:sz w:val="16"/>
              </w:rPr>
              <w:t>建设单位擅自处分属于业主的物业共用部位、共用设施设备的所有权或者使用权的处罚</w:t>
            </w:r>
          </w:p>
        </w:tc>
        <w:tc>
          <w:tcPr>
            <w:tcW w:w="4766" w:type="dxa"/>
            <w:tcBorders>
              <w:top w:val="nil"/>
              <w:left w:val="single" w:color="000000" w:sz="8" w:space="0"/>
              <w:bottom w:val="single" w:color="000000" w:sz="8" w:space="0"/>
              <w:right w:val="single" w:color="000000" w:sz="8" w:space="0"/>
            </w:tcBorders>
          </w:tcPr>
          <w:p>
            <w:pPr>
              <w:spacing w:after="0"/>
              <w:ind w:left="75"/>
              <w:jc w:val="center"/>
            </w:pPr>
            <w:r>
              <w:rPr>
                <w:rFonts w:ascii="宋体" w:hAnsi="宋体" w:eastAsia="宋体" w:cs="宋体"/>
                <w:sz w:val="16"/>
              </w:rPr>
              <w:t>《物业管理条例》</w:t>
            </w:r>
          </w:p>
        </w:tc>
        <w:tc>
          <w:tcPr>
            <w:tcW w:w="1565" w:type="dxa"/>
            <w:tcBorders>
              <w:top w:val="nil"/>
              <w:left w:val="single" w:color="000000" w:sz="8" w:space="0"/>
              <w:bottom w:val="single" w:color="000000" w:sz="8" w:space="0"/>
              <w:right w:val="single" w:color="000000" w:sz="8" w:space="0"/>
            </w:tcBorders>
          </w:tcPr>
          <w:p>
            <w:pPr>
              <w:spacing w:after="0"/>
            </w:pPr>
          </w:p>
        </w:tc>
        <w:tc>
          <w:tcPr>
            <w:tcW w:w="1094" w:type="dxa"/>
            <w:tcBorders>
              <w:top w:val="nil"/>
              <w:left w:val="single" w:color="000000" w:sz="8" w:space="0"/>
              <w:bottom w:val="single" w:color="000000" w:sz="8" w:space="0"/>
              <w:right w:val="single" w:color="000000" w:sz="8" w:space="0"/>
            </w:tcBorders>
          </w:tcPr>
          <w:p>
            <w:pPr>
              <w:spacing w:after="0"/>
            </w:pPr>
          </w:p>
        </w:tc>
      </w:tr>
    </w:tbl>
    <w:p>
      <w:pPr>
        <w:spacing w:after="0"/>
        <w:ind w:left="-1440" w:right="15394"/>
      </w:pPr>
    </w:p>
    <w:tbl>
      <w:tblPr>
        <w:tblStyle w:val="7"/>
        <w:tblW w:w="15775" w:type="dxa"/>
        <w:tblInd w:w="-1080" w:type="dxa"/>
        <w:tblLayout w:type="autofit"/>
        <w:tblCellMar>
          <w:top w:w="25" w:type="dxa"/>
          <w:left w:w="29" w:type="dxa"/>
          <w:bottom w:w="25" w:type="dxa"/>
          <w:right w:w="53" w:type="dxa"/>
        </w:tblCellMar>
      </w:tblPr>
      <w:tblGrid>
        <w:gridCol w:w="662"/>
        <w:gridCol w:w="7687"/>
        <w:gridCol w:w="4766"/>
        <w:gridCol w:w="1565"/>
        <w:gridCol w:w="1095"/>
      </w:tblGrid>
      <w:tr>
        <w:tblPrEx>
          <w:tblCellMar>
            <w:top w:w="25" w:type="dxa"/>
            <w:left w:w="29" w:type="dxa"/>
            <w:bottom w:w="25" w:type="dxa"/>
            <w:right w:w="53" w:type="dxa"/>
          </w:tblCellMar>
        </w:tblPrEx>
        <w:trPr>
          <w:trHeight w:val="542"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49"/>
            </w:pPr>
            <w:r>
              <w:rPr>
                <w:rFonts w:ascii="黑体" w:hAnsi="黑体" w:eastAsia="黑体" w:cs="黑体"/>
                <w:sz w:val="16"/>
              </w:rPr>
              <w:t>序号</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7"/>
              <w:jc w:val="center"/>
            </w:pPr>
            <w:r>
              <w:rPr>
                <w:rFonts w:ascii="黑体" w:hAnsi="黑体" w:eastAsia="黑体" w:cs="黑体"/>
                <w:sz w:val="16"/>
              </w:rPr>
              <w:t>违法行为</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9"/>
              <w:jc w:val="center"/>
            </w:pPr>
            <w:r>
              <w:rPr>
                <w:rFonts w:ascii="黑体" w:hAnsi="黑体" w:eastAsia="黑体" w:cs="黑体"/>
                <w:sz w:val="16"/>
              </w:rPr>
              <w:t>行政处罚实施依据</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40"/>
              <w:jc w:val="center"/>
            </w:pPr>
            <w:r>
              <w:rPr>
                <w:rFonts w:ascii="黑体" w:hAnsi="黑体" w:eastAsia="黑体" w:cs="黑体"/>
                <w:sz w:val="16"/>
              </w:rPr>
              <w:t>责任科室</w:t>
            </w:r>
          </w:p>
        </w:tc>
        <w:tc>
          <w:tcPr>
            <w:tcW w:w="1094" w:type="dxa"/>
            <w:tcBorders>
              <w:top w:val="single" w:color="000000" w:sz="8" w:space="0"/>
              <w:left w:val="single" w:color="000000" w:sz="8" w:space="0"/>
              <w:bottom w:val="single" w:color="000000" w:sz="8" w:space="0"/>
              <w:right w:val="single" w:color="000000" w:sz="8" w:space="0"/>
            </w:tcBorders>
            <w:vAlign w:val="center"/>
          </w:tcPr>
          <w:p>
            <w:pPr>
              <w:spacing w:after="0"/>
              <w:ind w:left="39"/>
              <w:jc w:val="center"/>
            </w:pPr>
            <w:r>
              <w:rPr>
                <w:rFonts w:ascii="黑体" w:hAnsi="黑体" w:eastAsia="黑体" w:cs="黑体"/>
                <w:sz w:val="16"/>
              </w:rPr>
              <w:t>备注</w:t>
            </w:r>
          </w:p>
        </w:tc>
      </w:tr>
      <w:tr>
        <w:tblPrEx>
          <w:tblCellMar>
            <w:top w:w="25" w:type="dxa"/>
            <w:left w:w="29" w:type="dxa"/>
            <w:bottom w:w="25" w:type="dxa"/>
            <w:right w:w="53"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2"/>
              <w:jc w:val="center"/>
            </w:pPr>
            <w:r>
              <w:rPr>
                <w:rFonts w:ascii="宋体" w:hAnsi="宋体" w:eastAsia="宋体" w:cs="宋体"/>
                <w:sz w:val="16"/>
              </w:rPr>
              <w:t>37</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9"/>
              <w:jc w:val="center"/>
            </w:pPr>
            <w:r>
              <w:rPr>
                <w:rFonts w:ascii="宋体" w:hAnsi="宋体" w:eastAsia="宋体" w:cs="宋体"/>
                <w:sz w:val="16"/>
              </w:rPr>
              <w:t>违反《物业管理条例》的规定，不移交有关资料的处罚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40"/>
              <w:jc w:val="center"/>
            </w:pPr>
            <w:r>
              <w:rPr>
                <w:rFonts w:ascii="宋体" w:hAnsi="宋体" w:eastAsia="宋体" w:cs="宋体"/>
                <w:sz w:val="16"/>
              </w:rPr>
              <w:t>《物业管理条例》</w:t>
            </w:r>
          </w:p>
        </w:tc>
        <w:tc>
          <w:tcPr>
            <w:tcW w:w="1565" w:type="dxa"/>
            <w:vMerge w:val="restart"/>
            <w:tcBorders>
              <w:top w:val="single" w:color="000000" w:sz="8" w:space="0"/>
              <w:left w:val="single" w:color="000000" w:sz="8" w:space="0"/>
              <w:bottom w:val="nil"/>
              <w:right w:val="single" w:color="000000" w:sz="8" w:space="0"/>
            </w:tcBorders>
            <w:vAlign w:val="bottom"/>
          </w:tcPr>
          <w:p>
            <w:pPr>
              <w:spacing w:after="0"/>
              <w:ind w:left="41"/>
              <w:jc w:val="center"/>
            </w:pPr>
            <w:r>
              <w:rPr>
                <w:rFonts w:ascii="宋体" w:hAnsi="宋体" w:eastAsia="宋体" w:cs="宋体"/>
                <w:sz w:val="16"/>
              </w:rPr>
              <w:t>物业管理科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5" w:type="dxa"/>
            <w:left w:w="29" w:type="dxa"/>
            <w:bottom w:w="25" w:type="dxa"/>
            <w:right w:w="53" w:type="dxa"/>
          </w:tblCellMar>
        </w:tblPrEx>
        <w:trPr>
          <w:trHeight w:val="166" w:hRule="atLeast"/>
        </w:trPr>
        <w:tc>
          <w:tcPr>
            <w:tcW w:w="662" w:type="dxa"/>
            <w:tcBorders>
              <w:top w:val="single" w:color="000000" w:sz="8" w:space="0"/>
              <w:left w:val="single" w:color="000000" w:sz="8" w:space="0"/>
              <w:bottom w:val="nil"/>
              <w:right w:val="single" w:color="000000" w:sz="8" w:space="0"/>
            </w:tcBorders>
          </w:tcPr>
          <w:p>
            <w:pPr>
              <w:spacing w:after="0"/>
            </w:pPr>
          </w:p>
        </w:tc>
        <w:tc>
          <w:tcPr>
            <w:tcW w:w="7687" w:type="dxa"/>
            <w:tcBorders>
              <w:top w:val="single" w:color="000000" w:sz="8" w:space="0"/>
              <w:left w:val="single" w:color="000000" w:sz="8" w:space="0"/>
              <w:bottom w:val="nil"/>
              <w:right w:val="single" w:color="000000" w:sz="8" w:space="0"/>
            </w:tcBorders>
          </w:tcPr>
          <w:p>
            <w:pPr>
              <w:spacing w:after="0"/>
            </w:pPr>
          </w:p>
        </w:tc>
        <w:tc>
          <w:tcPr>
            <w:tcW w:w="4766" w:type="dxa"/>
            <w:tcBorders>
              <w:top w:val="single" w:color="000000" w:sz="8" w:space="0"/>
              <w:left w:val="single" w:color="000000" w:sz="8" w:space="0"/>
              <w:bottom w:val="nil"/>
              <w:right w:val="single" w:color="000000" w:sz="8" w:space="0"/>
            </w:tcBorders>
          </w:tcPr>
          <w:p>
            <w:pPr>
              <w:spacing w:after="0"/>
            </w:pP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nil"/>
              <w:right w:val="single" w:color="000000" w:sz="8" w:space="0"/>
            </w:tcBorders>
          </w:tcPr>
          <w:p>
            <w:pPr>
              <w:spacing w:after="0"/>
            </w:pPr>
          </w:p>
        </w:tc>
      </w:tr>
      <w:tr>
        <w:tblPrEx>
          <w:tblCellMar>
            <w:top w:w="25" w:type="dxa"/>
            <w:left w:w="29" w:type="dxa"/>
            <w:bottom w:w="25" w:type="dxa"/>
            <w:right w:w="53" w:type="dxa"/>
          </w:tblCellMar>
        </w:tblPrEx>
        <w:trPr>
          <w:trHeight w:val="453" w:hRule="atLeast"/>
        </w:trPr>
        <w:tc>
          <w:tcPr>
            <w:tcW w:w="662" w:type="dxa"/>
            <w:tcBorders>
              <w:top w:val="nil"/>
              <w:left w:val="single" w:color="000000" w:sz="8" w:space="0"/>
              <w:bottom w:val="single" w:color="000000" w:sz="8" w:space="0"/>
              <w:right w:val="single" w:color="000000" w:sz="8" w:space="0"/>
            </w:tcBorders>
          </w:tcPr>
          <w:p>
            <w:pPr>
              <w:spacing w:after="0"/>
              <w:ind w:left="42"/>
              <w:jc w:val="center"/>
            </w:pPr>
            <w:r>
              <w:rPr>
                <w:rFonts w:ascii="宋体" w:hAnsi="宋体" w:eastAsia="宋体" w:cs="宋体"/>
                <w:sz w:val="16"/>
              </w:rPr>
              <w:t>38</w:t>
            </w:r>
          </w:p>
        </w:tc>
        <w:tc>
          <w:tcPr>
            <w:tcW w:w="7687" w:type="dxa"/>
            <w:tcBorders>
              <w:top w:val="nil"/>
              <w:left w:val="single" w:color="000000" w:sz="8" w:space="0"/>
              <w:bottom w:val="single" w:color="000000" w:sz="8" w:space="0"/>
              <w:right w:val="single" w:color="000000" w:sz="8" w:space="0"/>
            </w:tcBorders>
          </w:tcPr>
          <w:p>
            <w:pPr>
              <w:spacing w:after="0"/>
              <w:ind w:left="40"/>
              <w:jc w:val="center"/>
            </w:pPr>
            <w:r>
              <w:rPr>
                <w:rFonts w:ascii="宋体" w:hAnsi="宋体" w:eastAsia="宋体" w:cs="宋体"/>
                <w:sz w:val="16"/>
              </w:rPr>
              <w:t>物业服务企业将一个物业管理区域内的全部物业管理一并委托给他人的处罚</w:t>
            </w:r>
          </w:p>
        </w:tc>
        <w:tc>
          <w:tcPr>
            <w:tcW w:w="4766" w:type="dxa"/>
            <w:tcBorders>
              <w:top w:val="nil"/>
              <w:left w:val="single" w:color="000000" w:sz="8" w:space="0"/>
              <w:bottom w:val="single" w:color="000000" w:sz="8" w:space="0"/>
              <w:right w:val="single" w:color="000000" w:sz="8" w:space="0"/>
            </w:tcBorders>
          </w:tcPr>
          <w:p>
            <w:pPr>
              <w:spacing w:after="0"/>
              <w:ind w:left="40"/>
              <w:jc w:val="center"/>
            </w:pPr>
            <w:r>
              <w:rPr>
                <w:rFonts w:ascii="宋体" w:hAnsi="宋体" w:eastAsia="宋体" w:cs="宋体"/>
                <w:sz w:val="16"/>
              </w:rPr>
              <w:t>《物业管理条例》</w:t>
            </w:r>
          </w:p>
        </w:tc>
        <w:tc>
          <w:tcPr>
            <w:tcW w:w="1565" w:type="dxa"/>
            <w:tcBorders>
              <w:top w:val="nil"/>
              <w:left w:val="single" w:color="000000" w:sz="8" w:space="0"/>
              <w:bottom w:val="single" w:color="000000" w:sz="8" w:space="0"/>
              <w:right w:val="single" w:color="000000" w:sz="8" w:space="0"/>
            </w:tcBorders>
          </w:tcPr>
          <w:p>
            <w:pPr>
              <w:spacing w:after="0"/>
            </w:pPr>
          </w:p>
        </w:tc>
        <w:tc>
          <w:tcPr>
            <w:tcW w:w="1094" w:type="dxa"/>
            <w:tcBorders>
              <w:top w:val="nil"/>
              <w:left w:val="single" w:color="000000" w:sz="8" w:space="0"/>
              <w:bottom w:val="single" w:color="000000" w:sz="8" w:space="0"/>
              <w:right w:val="single" w:color="000000" w:sz="8" w:space="0"/>
            </w:tcBorders>
          </w:tcPr>
          <w:p>
            <w:pPr>
              <w:spacing w:after="0"/>
            </w:pPr>
          </w:p>
        </w:tc>
      </w:tr>
      <w:tr>
        <w:tblPrEx>
          <w:tblCellMar>
            <w:top w:w="25" w:type="dxa"/>
            <w:left w:w="29" w:type="dxa"/>
            <w:bottom w:w="25" w:type="dxa"/>
            <w:right w:w="53"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2"/>
              <w:jc w:val="center"/>
            </w:pPr>
            <w:r>
              <w:rPr>
                <w:rFonts w:ascii="宋体" w:hAnsi="宋体" w:eastAsia="宋体" w:cs="宋体"/>
                <w:sz w:val="16"/>
              </w:rPr>
              <w:t>39</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40"/>
              <w:jc w:val="center"/>
            </w:pPr>
            <w:r>
              <w:rPr>
                <w:rFonts w:ascii="宋体" w:hAnsi="宋体" w:eastAsia="宋体" w:cs="宋体"/>
                <w:sz w:val="16"/>
              </w:rPr>
              <w:t>挪用专项维修资金的处罚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40"/>
              <w:jc w:val="center"/>
            </w:pPr>
            <w:r>
              <w:rPr>
                <w:rFonts w:ascii="宋体" w:hAnsi="宋体" w:eastAsia="宋体" w:cs="宋体"/>
                <w:sz w:val="16"/>
              </w:rPr>
              <w:t>《物业管理条例》</w:t>
            </w:r>
          </w:p>
        </w:tc>
        <w:tc>
          <w:tcPr>
            <w:tcW w:w="1565" w:type="dxa"/>
            <w:vMerge w:val="restart"/>
            <w:tcBorders>
              <w:top w:val="single" w:color="000000" w:sz="8" w:space="0"/>
              <w:left w:val="single" w:color="000000" w:sz="8" w:space="0"/>
              <w:bottom w:val="nil"/>
              <w:right w:val="single" w:color="000000" w:sz="8" w:space="0"/>
            </w:tcBorders>
            <w:vAlign w:val="bottom"/>
          </w:tcPr>
          <w:p>
            <w:pPr>
              <w:spacing w:after="0"/>
              <w:ind w:left="41"/>
              <w:jc w:val="center"/>
            </w:pPr>
            <w:r>
              <w:rPr>
                <w:rFonts w:ascii="宋体" w:hAnsi="宋体" w:eastAsia="宋体" w:cs="宋体"/>
                <w:sz w:val="16"/>
              </w:rPr>
              <w:t>物业管理科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5" w:type="dxa"/>
            <w:left w:w="29" w:type="dxa"/>
            <w:bottom w:w="25" w:type="dxa"/>
            <w:right w:w="53"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2"/>
              <w:jc w:val="center"/>
            </w:pPr>
            <w:r>
              <w:rPr>
                <w:rFonts w:ascii="宋体" w:hAnsi="宋体" w:eastAsia="宋体" w:cs="宋体"/>
                <w:sz w:val="16"/>
              </w:rPr>
              <w:t>40</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8"/>
              <w:jc w:val="center"/>
            </w:pPr>
            <w:r>
              <w:rPr>
                <w:rFonts w:ascii="宋体" w:hAnsi="宋体" w:eastAsia="宋体" w:cs="宋体"/>
                <w:sz w:val="16"/>
              </w:rPr>
              <w:t>建设单位在物业管理区域内不按照规定配置必要的物业管理用房的处罚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40"/>
              <w:jc w:val="center"/>
            </w:pPr>
            <w:r>
              <w:rPr>
                <w:rFonts w:ascii="宋体" w:hAnsi="宋体" w:eastAsia="宋体" w:cs="宋体"/>
                <w:sz w:val="16"/>
              </w:rPr>
              <w:t>《物业管理条例》</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5" w:type="dxa"/>
            <w:left w:w="29" w:type="dxa"/>
            <w:bottom w:w="25" w:type="dxa"/>
            <w:right w:w="53"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2"/>
              <w:jc w:val="center"/>
            </w:pPr>
            <w:r>
              <w:rPr>
                <w:rFonts w:ascii="宋体" w:hAnsi="宋体" w:eastAsia="宋体" w:cs="宋体"/>
                <w:sz w:val="16"/>
              </w:rPr>
              <w:t>41</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9"/>
              <w:jc w:val="center"/>
            </w:pPr>
            <w:r>
              <w:rPr>
                <w:rFonts w:ascii="宋体" w:hAnsi="宋体" w:eastAsia="宋体" w:cs="宋体"/>
                <w:sz w:val="16"/>
              </w:rPr>
              <w:t>未经业主大会同意，物业服务企业擅自改变物业管理用房的用途的处罚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40"/>
              <w:jc w:val="center"/>
            </w:pPr>
            <w:r>
              <w:rPr>
                <w:rFonts w:ascii="宋体" w:hAnsi="宋体" w:eastAsia="宋体" w:cs="宋体"/>
                <w:sz w:val="16"/>
              </w:rPr>
              <w:t>《物业管理条例》</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5" w:type="dxa"/>
            <w:left w:w="29" w:type="dxa"/>
            <w:bottom w:w="25" w:type="dxa"/>
            <w:right w:w="53" w:type="dxa"/>
          </w:tblCellMar>
        </w:tblPrEx>
        <w:trPr>
          <w:trHeight w:val="117" w:hRule="atLeast"/>
        </w:trPr>
        <w:tc>
          <w:tcPr>
            <w:tcW w:w="662" w:type="dxa"/>
            <w:tcBorders>
              <w:top w:val="single" w:color="000000" w:sz="8" w:space="0"/>
              <w:left w:val="single" w:color="000000" w:sz="8" w:space="0"/>
              <w:bottom w:val="nil"/>
              <w:right w:val="single" w:color="000000" w:sz="8" w:space="0"/>
            </w:tcBorders>
          </w:tcPr>
          <w:p>
            <w:pPr>
              <w:spacing w:after="0"/>
            </w:pPr>
          </w:p>
        </w:tc>
        <w:tc>
          <w:tcPr>
            <w:tcW w:w="7687" w:type="dxa"/>
            <w:tcBorders>
              <w:top w:val="single" w:color="000000" w:sz="8" w:space="0"/>
              <w:left w:val="single" w:color="000000" w:sz="8" w:space="0"/>
              <w:bottom w:val="nil"/>
              <w:right w:val="single" w:color="000000" w:sz="8" w:space="0"/>
            </w:tcBorders>
          </w:tcPr>
          <w:p>
            <w:pPr>
              <w:spacing w:after="0"/>
            </w:pPr>
          </w:p>
        </w:tc>
        <w:tc>
          <w:tcPr>
            <w:tcW w:w="4766" w:type="dxa"/>
            <w:tcBorders>
              <w:top w:val="single" w:color="000000" w:sz="8" w:space="0"/>
              <w:left w:val="single" w:color="000000" w:sz="8" w:space="0"/>
              <w:bottom w:val="nil"/>
              <w:right w:val="single" w:color="000000" w:sz="8" w:space="0"/>
            </w:tcBorders>
          </w:tcPr>
          <w:p>
            <w:pPr>
              <w:spacing w:after="0"/>
            </w:pP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nil"/>
              <w:right w:val="single" w:color="000000" w:sz="8" w:space="0"/>
            </w:tcBorders>
          </w:tcPr>
          <w:p>
            <w:pPr>
              <w:spacing w:after="0"/>
            </w:pPr>
          </w:p>
        </w:tc>
      </w:tr>
      <w:tr>
        <w:tblPrEx>
          <w:tblCellMar>
            <w:top w:w="25" w:type="dxa"/>
            <w:left w:w="29" w:type="dxa"/>
            <w:bottom w:w="25" w:type="dxa"/>
            <w:right w:w="53" w:type="dxa"/>
          </w:tblCellMar>
        </w:tblPrEx>
        <w:trPr>
          <w:trHeight w:val="503" w:hRule="atLeast"/>
        </w:trPr>
        <w:tc>
          <w:tcPr>
            <w:tcW w:w="662" w:type="dxa"/>
            <w:tcBorders>
              <w:top w:val="nil"/>
              <w:left w:val="single" w:color="000000" w:sz="8" w:space="0"/>
              <w:bottom w:val="single" w:color="000000" w:sz="8" w:space="0"/>
              <w:right w:val="single" w:color="000000" w:sz="8" w:space="0"/>
            </w:tcBorders>
            <w:vAlign w:val="center"/>
          </w:tcPr>
          <w:p>
            <w:pPr>
              <w:spacing w:after="0"/>
              <w:ind w:left="42"/>
              <w:jc w:val="center"/>
            </w:pPr>
            <w:r>
              <w:rPr>
                <w:rFonts w:ascii="宋体" w:hAnsi="宋体" w:eastAsia="宋体" w:cs="宋体"/>
                <w:sz w:val="16"/>
              </w:rPr>
              <w:t>42</w:t>
            </w:r>
          </w:p>
        </w:tc>
        <w:tc>
          <w:tcPr>
            <w:tcW w:w="7687" w:type="dxa"/>
            <w:tcBorders>
              <w:top w:val="nil"/>
              <w:left w:val="single" w:color="000000" w:sz="8" w:space="0"/>
              <w:bottom w:val="single" w:color="000000" w:sz="8" w:space="0"/>
              <w:right w:val="single" w:color="000000" w:sz="8" w:space="0"/>
            </w:tcBorders>
          </w:tcPr>
          <w:p>
            <w:pPr>
              <w:spacing w:after="0"/>
              <w:jc w:val="center"/>
            </w:pPr>
            <w:r>
              <w:rPr>
                <w:rFonts w:ascii="宋体" w:hAnsi="宋体" w:eastAsia="宋体" w:cs="宋体"/>
                <w:sz w:val="16"/>
              </w:rPr>
              <w:t>擅自改变物业管理区域内按照规划建设的公共建筑和共用设施用途；擅自占用、挖掘物业管理区域内道路、场地，损害业主共同利益；擅自利用物业共用部位、共用设施设备进行经营的处罚</w:t>
            </w:r>
          </w:p>
        </w:tc>
        <w:tc>
          <w:tcPr>
            <w:tcW w:w="4766" w:type="dxa"/>
            <w:tcBorders>
              <w:top w:val="nil"/>
              <w:left w:val="single" w:color="000000" w:sz="8" w:space="0"/>
              <w:bottom w:val="single" w:color="000000" w:sz="8" w:space="0"/>
              <w:right w:val="single" w:color="000000" w:sz="8" w:space="0"/>
            </w:tcBorders>
            <w:vAlign w:val="center"/>
          </w:tcPr>
          <w:p>
            <w:pPr>
              <w:spacing w:after="0"/>
              <w:ind w:left="40"/>
              <w:jc w:val="center"/>
            </w:pPr>
            <w:r>
              <w:rPr>
                <w:rFonts w:ascii="宋体" w:hAnsi="宋体" w:eastAsia="宋体" w:cs="宋体"/>
                <w:sz w:val="16"/>
              </w:rPr>
              <w:t>《物业管理条例》</w:t>
            </w:r>
          </w:p>
        </w:tc>
        <w:tc>
          <w:tcPr>
            <w:tcW w:w="1565" w:type="dxa"/>
            <w:vMerge w:val="restart"/>
            <w:tcBorders>
              <w:top w:val="nil"/>
              <w:left w:val="single" w:color="000000" w:sz="8" w:space="0"/>
              <w:bottom w:val="single" w:color="000000" w:sz="8" w:space="0"/>
              <w:right w:val="single" w:color="000000" w:sz="8" w:space="0"/>
            </w:tcBorders>
          </w:tcPr>
          <w:p>
            <w:pPr>
              <w:spacing w:after="0"/>
            </w:pPr>
          </w:p>
        </w:tc>
        <w:tc>
          <w:tcPr>
            <w:tcW w:w="1094" w:type="dxa"/>
            <w:tcBorders>
              <w:top w:val="nil"/>
              <w:left w:val="single" w:color="000000" w:sz="8" w:space="0"/>
              <w:bottom w:val="single" w:color="000000" w:sz="8" w:space="0"/>
              <w:right w:val="single" w:color="000000" w:sz="8" w:space="0"/>
            </w:tcBorders>
          </w:tcPr>
          <w:p>
            <w:pPr>
              <w:spacing w:after="0"/>
            </w:pPr>
          </w:p>
        </w:tc>
      </w:tr>
      <w:tr>
        <w:tblPrEx>
          <w:tblCellMar>
            <w:top w:w="25" w:type="dxa"/>
            <w:left w:w="29" w:type="dxa"/>
            <w:bottom w:w="25" w:type="dxa"/>
            <w:right w:w="53"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2"/>
              <w:jc w:val="center"/>
            </w:pPr>
            <w:r>
              <w:rPr>
                <w:rFonts w:ascii="宋体" w:hAnsi="宋体" w:eastAsia="宋体" w:cs="宋体"/>
                <w:sz w:val="16"/>
              </w:rPr>
              <w:t>43</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9"/>
              <w:jc w:val="center"/>
            </w:pPr>
            <w:r>
              <w:rPr>
                <w:rFonts w:ascii="宋体" w:hAnsi="宋体" w:eastAsia="宋体" w:cs="宋体"/>
                <w:sz w:val="16"/>
              </w:rPr>
              <w:t>专业经营单位拒不接收或者拒不履行承担运行、维修和更新责任的处罚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7"/>
              <w:jc w:val="center"/>
            </w:pPr>
            <w:r>
              <w:rPr>
                <w:rFonts w:ascii="宋体" w:hAnsi="宋体" w:eastAsia="宋体" w:cs="宋体"/>
                <w:sz w:val="16"/>
              </w:rPr>
              <w:t>《河南省物业管理条例》</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5" w:type="dxa"/>
            <w:left w:w="29" w:type="dxa"/>
            <w:bottom w:w="25" w:type="dxa"/>
            <w:right w:w="53"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2"/>
              <w:jc w:val="center"/>
            </w:pPr>
            <w:r>
              <w:rPr>
                <w:rFonts w:ascii="宋体" w:hAnsi="宋体" w:eastAsia="宋体" w:cs="宋体"/>
                <w:sz w:val="16"/>
              </w:rPr>
              <w:t>44</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40"/>
              <w:jc w:val="center"/>
            </w:pPr>
            <w:r>
              <w:rPr>
                <w:rFonts w:ascii="宋体" w:hAnsi="宋体" w:eastAsia="宋体" w:cs="宋体"/>
                <w:sz w:val="16"/>
              </w:rPr>
              <w:t>未及时报送文件资料、建设单位不提供筹备费用的处罚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7"/>
              <w:jc w:val="center"/>
            </w:pPr>
            <w:r>
              <w:rPr>
                <w:rFonts w:ascii="宋体" w:hAnsi="宋体" w:eastAsia="宋体" w:cs="宋体"/>
                <w:sz w:val="16"/>
              </w:rPr>
              <w:t>《河南省物业管理条例》</w:t>
            </w:r>
          </w:p>
        </w:tc>
        <w:tc>
          <w:tcPr>
            <w:tcW w:w="0" w:type="auto"/>
            <w:vMerge w:val="continue"/>
            <w:tcBorders>
              <w:top w:val="nil"/>
              <w:left w:val="single" w:color="000000" w:sz="8" w:space="0"/>
              <w:bottom w:val="single" w:color="000000" w:sz="8" w:space="0"/>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5" w:type="dxa"/>
            <w:left w:w="29" w:type="dxa"/>
            <w:bottom w:w="25" w:type="dxa"/>
            <w:right w:w="53"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2"/>
              <w:jc w:val="center"/>
            </w:pPr>
            <w:r>
              <w:rPr>
                <w:rFonts w:ascii="宋体" w:hAnsi="宋体" w:eastAsia="宋体" w:cs="宋体"/>
                <w:sz w:val="16"/>
              </w:rPr>
              <w:t>45</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物业服务企业擅自利用或者擅自允许他人利用物业共用部位、共用设备设施进行广告、宣传和经营等活动，擅自设置或者擅自允许他人设置营业摊点的处罚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7"/>
              <w:jc w:val="center"/>
            </w:pPr>
            <w:r>
              <w:rPr>
                <w:rFonts w:ascii="宋体" w:hAnsi="宋体" w:eastAsia="宋体" w:cs="宋体"/>
                <w:sz w:val="16"/>
              </w:rPr>
              <w:t>《河南省物业管理条例》</w:t>
            </w:r>
          </w:p>
        </w:tc>
        <w:tc>
          <w:tcPr>
            <w:tcW w:w="1565" w:type="dxa"/>
            <w:vMerge w:val="restart"/>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物业管理科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5" w:type="dxa"/>
            <w:left w:w="29" w:type="dxa"/>
            <w:bottom w:w="25" w:type="dxa"/>
            <w:right w:w="53"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2"/>
              <w:jc w:val="center"/>
            </w:pPr>
            <w:r>
              <w:rPr>
                <w:rFonts w:ascii="宋体" w:hAnsi="宋体" w:eastAsia="宋体" w:cs="宋体"/>
                <w:sz w:val="16"/>
              </w:rPr>
              <w:t>46</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8"/>
              <w:jc w:val="center"/>
            </w:pPr>
            <w:r>
              <w:rPr>
                <w:rFonts w:ascii="宋体" w:hAnsi="宋体" w:eastAsia="宋体" w:cs="宋体"/>
                <w:sz w:val="16"/>
              </w:rPr>
              <w:t>物业服务企业未在物业管理区域显著位置公示有关信息的处罚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7"/>
              <w:jc w:val="center"/>
            </w:pPr>
            <w:r>
              <w:rPr>
                <w:rFonts w:ascii="宋体" w:hAnsi="宋体" w:eastAsia="宋体" w:cs="宋体"/>
                <w:sz w:val="16"/>
              </w:rPr>
              <w:t>《河南省物业管理条例》</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5" w:type="dxa"/>
            <w:left w:w="29" w:type="dxa"/>
            <w:bottom w:w="25" w:type="dxa"/>
            <w:right w:w="53"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2"/>
              <w:jc w:val="center"/>
            </w:pPr>
            <w:r>
              <w:rPr>
                <w:rFonts w:ascii="宋体" w:hAnsi="宋体" w:eastAsia="宋体" w:cs="宋体"/>
                <w:sz w:val="16"/>
              </w:rPr>
              <w:t>47</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物业服务企业未按照规定办理移交手续的；物业服务企业未按照约定时间提前撤出物业管理区域的；原物业服务企业未在规定时间内退出物业管理区域的处罚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7"/>
              <w:jc w:val="center"/>
            </w:pPr>
            <w:r>
              <w:rPr>
                <w:rFonts w:ascii="宋体" w:hAnsi="宋体" w:eastAsia="宋体" w:cs="宋体"/>
                <w:sz w:val="16"/>
              </w:rPr>
              <w:t>《河南省物业管理条例》</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5" w:type="dxa"/>
            <w:left w:w="29" w:type="dxa"/>
            <w:bottom w:w="25" w:type="dxa"/>
            <w:right w:w="53"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2"/>
              <w:jc w:val="center"/>
            </w:pPr>
            <w:r>
              <w:rPr>
                <w:rFonts w:ascii="宋体" w:hAnsi="宋体" w:eastAsia="宋体" w:cs="宋体"/>
                <w:sz w:val="16"/>
              </w:rPr>
              <w:t>48</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9"/>
              <w:jc w:val="center"/>
            </w:pPr>
            <w:r>
              <w:rPr>
                <w:rFonts w:ascii="宋体" w:hAnsi="宋体" w:eastAsia="宋体" w:cs="宋体"/>
                <w:sz w:val="16"/>
              </w:rPr>
              <w:t>损坏房屋承重结构、主体结构的，侵占、损坏共用部位、共用设施设备的处罚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7"/>
              <w:jc w:val="center"/>
            </w:pPr>
            <w:r>
              <w:rPr>
                <w:rFonts w:ascii="宋体" w:hAnsi="宋体" w:eastAsia="宋体" w:cs="宋体"/>
                <w:sz w:val="16"/>
              </w:rPr>
              <w:t>《河南省物业管理条例》</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5" w:type="dxa"/>
            <w:left w:w="29" w:type="dxa"/>
            <w:bottom w:w="25" w:type="dxa"/>
            <w:right w:w="53"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2"/>
              <w:jc w:val="center"/>
            </w:pPr>
            <w:r>
              <w:rPr>
                <w:rFonts w:ascii="宋体" w:hAnsi="宋体" w:eastAsia="宋体" w:cs="宋体"/>
                <w:sz w:val="16"/>
              </w:rPr>
              <w:t>49</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建设单位将车位车库出售给本区域业主以外的其他人的；建设单位将未出售或者未附赠的车位、车库不优先出租给本区域内业主，或者将多余车位、车库出租给本物业管理区域外使用人租赁期限超过六个月的处罚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7"/>
              <w:jc w:val="center"/>
            </w:pPr>
            <w:r>
              <w:rPr>
                <w:rFonts w:ascii="宋体" w:hAnsi="宋体" w:eastAsia="宋体" w:cs="宋体"/>
                <w:sz w:val="16"/>
              </w:rPr>
              <w:t>《河南省物业管理条例》</w:t>
            </w:r>
          </w:p>
        </w:tc>
        <w:tc>
          <w:tcPr>
            <w:tcW w:w="0" w:type="auto"/>
            <w:vMerge w:val="continue"/>
            <w:tcBorders>
              <w:top w:val="nil"/>
              <w:left w:val="single" w:color="000000" w:sz="8" w:space="0"/>
              <w:bottom w:val="single" w:color="000000" w:sz="8" w:space="0"/>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5" w:type="dxa"/>
            <w:left w:w="29" w:type="dxa"/>
            <w:bottom w:w="25" w:type="dxa"/>
            <w:right w:w="53"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2"/>
              <w:jc w:val="center"/>
            </w:pPr>
            <w:r>
              <w:rPr>
                <w:rFonts w:ascii="宋体" w:hAnsi="宋体" w:eastAsia="宋体" w:cs="宋体"/>
                <w:sz w:val="16"/>
              </w:rPr>
              <w:t>50</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both"/>
            </w:pPr>
            <w:r>
              <w:rPr>
                <w:rFonts w:ascii="宋体" w:hAnsi="宋体" w:eastAsia="宋体" w:cs="宋体"/>
                <w:sz w:val="16"/>
              </w:rPr>
              <w:t>开发建设单位未交存首期住宅专项维修资金将房屋交付买受人；未按规定分摊维修、更新和改造费用的处罚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9"/>
              <w:jc w:val="center"/>
            </w:pPr>
            <w:r>
              <w:rPr>
                <w:rFonts w:ascii="宋体" w:hAnsi="宋体" w:eastAsia="宋体" w:cs="宋体"/>
                <w:sz w:val="16"/>
              </w:rPr>
              <w:t>《住宅专项维修资金管理办法》(建设部令第165号)</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物业管理科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bl>
    <w:p>
      <w:pPr>
        <w:spacing w:after="0"/>
        <w:ind w:left="-1440" w:right="15394"/>
      </w:pPr>
    </w:p>
    <w:tbl>
      <w:tblPr>
        <w:tblStyle w:val="7"/>
        <w:tblW w:w="15775" w:type="dxa"/>
        <w:tblInd w:w="-1080" w:type="dxa"/>
        <w:tblLayout w:type="autofit"/>
        <w:tblCellMar>
          <w:top w:w="24" w:type="dxa"/>
          <w:left w:w="29" w:type="dxa"/>
          <w:bottom w:w="24" w:type="dxa"/>
          <w:right w:w="52" w:type="dxa"/>
        </w:tblCellMar>
      </w:tblPr>
      <w:tblGrid>
        <w:gridCol w:w="662"/>
        <w:gridCol w:w="7687"/>
        <w:gridCol w:w="4766"/>
        <w:gridCol w:w="1565"/>
        <w:gridCol w:w="1095"/>
      </w:tblGrid>
      <w:tr>
        <w:tblPrEx>
          <w:tblCellMar>
            <w:top w:w="24" w:type="dxa"/>
            <w:left w:w="29" w:type="dxa"/>
            <w:bottom w:w="24" w:type="dxa"/>
            <w:right w:w="52" w:type="dxa"/>
          </w:tblCellMar>
        </w:tblPrEx>
        <w:trPr>
          <w:trHeight w:val="542"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49"/>
            </w:pPr>
            <w:r>
              <w:rPr>
                <w:rFonts w:ascii="黑体" w:hAnsi="黑体" w:eastAsia="黑体" w:cs="黑体"/>
                <w:sz w:val="16"/>
              </w:rPr>
              <w:t>序号</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6"/>
              <w:jc w:val="center"/>
            </w:pPr>
            <w:r>
              <w:rPr>
                <w:rFonts w:ascii="黑体" w:hAnsi="黑体" w:eastAsia="黑体" w:cs="黑体"/>
                <w:sz w:val="16"/>
              </w:rPr>
              <w:t>违法行为</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8"/>
              <w:jc w:val="center"/>
            </w:pPr>
            <w:r>
              <w:rPr>
                <w:rFonts w:ascii="黑体" w:hAnsi="黑体" w:eastAsia="黑体" w:cs="黑体"/>
                <w:sz w:val="16"/>
              </w:rPr>
              <w:t>行政处罚实施依据</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39"/>
              <w:jc w:val="center"/>
            </w:pPr>
            <w:r>
              <w:rPr>
                <w:rFonts w:ascii="黑体" w:hAnsi="黑体" w:eastAsia="黑体" w:cs="黑体"/>
                <w:sz w:val="16"/>
              </w:rPr>
              <w:t>责任科室</w:t>
            </w:r>
          </w:p>
        </w:tc>
        <w:tc>
          <w:tcPr>
            <w:tcW w:w="1094" w:type="dxa"/>
            <w:tcBorders>
              <w:top w:val="single" w:color="000000" w:sz="8" w:space="0"/>
              <w:left w:val="single" w:color="000000" w:sz="8" w:space="0"/>
              <w:bottom w:val="single" w:color="000000" w:sz="8" w:space="0"/>
              <w:right w:val="single" w:color="000000" w:sz="8" w:space="0"/>
            </w:tcBorders>
            <w:vAlign w:val="center"/>
          </w:tcPr>
          <w:p>
            <w:pPr>
              <w:spacing w:after="0"/>
              <w:ind w:left="38"/>
              <w:jc w:val="center"/>
            </w:pPr>
            <w:r>
              <w:rPr>
                <w:rFonts w:ascii="黑体" w:hAnsi="黑体" w:eastAsia="黑体" w:cs="黑体"/>
                <w:sz w:val="16"/>
              </w:rPr>
              <w:t>备注</w:t>
            </w:r>
          </w:p>
        </w:tc>
      </w:tr>
      <w:tr>
        <w:tblPrEx>
          <w:tblCellMar>
            <w:top w:w="24" w:type="dxa"/>
            <w:left w:w="29" w:type="dxa"/>
            <w:bottom w:w="24" w:type="dxa"/>
            <w:right w:w="5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51</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40"/>
              <w:jc w:val="center"/>
            </w:pPr>
            <w:r>
              <w:rPr>
                <w:rFonts w:ascii="宋体" w:hAnsi="宋体" w:eastAsia="宋体" w:cs="宋体"/>
                <w:sz w:val="16"/>
              </w:rPr>
              <w:t>将不准上市出售的已购公有住房和经济适用住房上市出售的处罚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已购公有住房和经济适用住房上市出售管理暂行办法》(建设部令第 69 号)</w:t>
            </w:r>
          </w:p>
        </w:tc>
        <w:tc>
          <w:tcPr>
            <w:tcW w:w="1565" w:type="dxa"/>
            <w:vMerge w:val="restart"/>
            <w:tcBorders>
              <w:top w:val="single" w:color="000000" w:sz="8" w:space="0"/>
              <w:left w:val="single" w:color="000000" w:sz="8" w:space="0"/>
              <w:bottom w:val="nil"/>
              <w:right w:val="single" w:color="000000" w:sz="8" w:space="0"/>
            </w:tcBorders>
            <w:vAlign w:val="bottom"/>
          </w:tcPr>
          <w:p>
            <w:pPr>
              <w:spacing w:after="0"/>
              <w:ind w:left="40"/>
              <w:jc w:val="center"/>
            </w:pPr>
            <w:r>
              <w:rPr>
                <w:rFonts w:ascii="宋体" w:hAnsi="宋体" w:eastAsia="宋体" w:cs="宋体"/>
                <w:sz w:val="16"/>
              </w:rPr>
              <w:t>住房保障科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4" w:type="dxa"/>
            <w:left w:w="29" w:type="dxa"/>
            <w:bottom w:w="24" w:type="dxa"/>
            <w:right w:w="52" w:type="dxa"/>
          </w:tblCellMar>
        </w:tblPrEx>
        <w:trPr>
          <w:trHeight w:val="117" w:hRule="atLeast"/>
        </w:trPr>
        <w:tc>
          <w:tcPr>
            <w:tcW w:w="662" w:type="dxa"/>
            <w:tcBorders>
              <w:top w:val="single" w:color="000000" w:sz="8" w:space="0"/>
              <w:left w:val="single" w:color="000000" w:sz="8" w:space="0"/>
              <w:bottom w:val="nil"/>
              <w:right w:val="single" w:color="000000" w:sz="8" w:space="0"/>
            </w:tcBorders>
          </w:tcPr>
          <w:p>
            <w:pPr>
              <w:spacing w:after="0"/>
            </w:pPr>
          </w:p>
        </w:tc>
        <w:tc>
          <w:tcPr>
            <w:tcW w:w="7687" w:type="dxa"/>
            <w:tcBorders>
              <w:top w:val="single" w:color="000000" w:sz="8" w:space="0"/>
              <w:left w:val="single" w:color="000000" w:sz="8" w:space="0"/>
              <w:bottom w:val="nil"/>
              <w:right w:val="single" w:color="000000" w:sz="8" w:space="0"/>
            </w:tcBorders>
          </w:tcPr>
          <w:p>
            <w:pPr>
              <w:spacing w:after="0"/>
            </w:pPr>
          </w:p>
        </w:tc>
        <w:tc>
          <w:tcPr>
            <w:tcW w:w="4766" w:type="dxa"/>
            <w:tcBorders>
              <w:top w:val="single" w:color="000000" w:sz="8" w:space="0"/>
              <w:left w:val="single" w:color="000000" w:sz="8" w:space="0"/>
              <w:bottom w:val="nil"/>
              <w:right w:val="single" w:color="000000" w:sz="8" w:space="0"/>
            </w:tcBorders>
          </w:tcPr>
          <w:p>
            <w:pPr>
              <w:spacing w:after="0"/>
            </w:pP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nil"/>
              <w:right w:val="single" w:color="000000" w:sz="8" w:space="0"/>
            </w:tcBorders>
          </w:tcPr>
          <w:p>
            <w:pPr>
              <w:spacing w:after="0"/>
            </w:pPr>
          </w:p>
        </w:tc>
      </w:tr>
      <w:tr>
        <w:tblPrEx>
          <w:tblCellMar>
            <w:top w:w="24" w:type="dxa"/>
            <w:left w:w="29" w:type="dxa"/>
            <w:bottom w:w="24" w:type="dxa"/>
            <w:right w:w="52" w:type="dxa"/>
          </w:tblCellMar>
        </w:tblPrEx>
        <w:trPr>
          <w:trHeight w:val="502" w:hRule="atLeast"/>
        </w:trPr>
        <w:tc>
          <w:tcPr>
            <w:tcW w:w="662" w:type="dxa"/>
            <w:tcBorders>
              <w:top w:val="nil"/>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52</w:t>
            </w:r>
          </w:p>
        </w:tc>
        <w:tc>
          <w:tcPr>
            <w:tcW w:w="7687" w:type="dxa"/>
            <w:tcBorders>
              <w:top w:val="nil"/>
              <w:left w:val="single" w:color="000000" w:sz="8" w:space="0"/>
              <w:bottom w:val="single" w:color="000000" w:sz="8" w:space="0"/>
              <w:right w:val="single" w:color="000000" w:sz="8" w:space="0"/>
            </w:tcBorders>
          </w:tcPr>
          <w:p>
            <w:pPr>
              <w:spacing w:after="0"/>
              <w:jc w:val="center"/>
            </w:pPr>
            <w:r>
              <w:rPr>
                <w:rFonts w:ascii="宋体" w:hAnsi="宋体" w:eastAsia="宋体" w:cs="宋体"/>
                <w:sz w:val="16"/>
              </w:rPr>
              <w:t>将已购公有住房和经济适用住房上市出售后，该户家庭又以非法手段按照成本价（或者标准价）购买公有住房或者政府提供优惠政策建设的住房的处罚</w:t>
            </w:r>
          </w:p>
        </w:tc>
        <w:tc>
          <w:tcPr>
            <w:tcW w:w="4766" w:type="dxa"/>
            <w:tcBorders>
              <w:top w:val="nil"/>
              <w:left w:val="single" w:color="000000" w:sz="8" w:space="0"/>
              <w:bottom w:val="single" w:color="000000" w:sz="8" w:space="0"/>
              <w:right w:val="single" w:color="000000" w:sz="8" w:space="0"/>
            </w:tcBorders>
          </w:tcPr>
          <w:p>
            <w:pPr>
              <w:spacing w:after="0"/>
              <w:jc w:val="center"/>
            </w:pPr>
            <w:r>
              <w:rPr>
                <w:rFonts w:ascii="宋体" w:hAnsi="宋体" w:eastAsia="宋体" w:cs="宋体"/>
                <w:sz w:val="16"/>
              </w:rPr>
              <w:t>《已购公有住房和经济适用住房上市出售管理暂行办法》(建设部令第 69 号)</w:t>
            </w:r>
          </w:p>
        </w:tc>
        <w:tc>
          <w:tcPr>
            <w:tcW w:w="1565" w:type="dxa"/>
            <w:tcBorders>
              <w:top w:val="nil"/>
              <w:left w:val="single" w:color="000000" w:sz="8" w:space="0"/>
              <w:bottom w:val="single" w:color="000000" w:sz="8" w:space="0"/>
              <w:right w:val="single" w:color="000000" w:sz="8" w:space="0"/>
            </w:tcBorders>
          </w:tcPr>
          <w:p>
            <w:pPr>
              <w:spacing w:after="0"/>
            </w:pPr>
          </w:p>
        </w:tc>
        <w:tc>
          <w:tcPr>
            <w:tcW w:w="1094" w:type="dxa"/>
            <w:tcBorders>
              <w:top w:val="nil"/>
              <w:left w:val="single" w:color="000000" w:sz="8" w:space="0"/>
              <w:bottom w:val="single" w:color="000000" w:sz="8" w:space="0"/>
              <w:right w:val="single" w:color="000000" w:sz="8" w:space="0"/>
            </w:tcBorders>
          </w:tcPr>
          <w:p>
            <w:pPr>
              <w:spacing w:after="0"/>
            </w:pPr>
          </w:p>
        </w:tc>
      </w:tr>
      <w:tr>
        <w:tblPrEx>
          <w:tblCellMar>
            <w:top w:w="24" w:type="dxa"/>
            <w:left w:w="29" w:type="dxa"/>
            <w:bottom w:w="24" w:type="dxa"/>
            <w:right w:w="5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53</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40"/>
              <w:jc w:val="center"/>
            </w:pPr>
            <w:r>
              <w:rPr>
                <w:rFonts w:ascii="宋体" w:hAnsi="宋体" w:eastAsia="宋体" w:cs="宋体"/>
                <w:sz w:val="16"/>
              </w:rPr>
              <w:t>已购公有住房和经济适用房上市交易管理弄虚作假、私下交易的处罚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190"/>
            </w:pPr>
            <w:r>
              <w:rPr>
                <w:rFonts w:ascii="宋体" w:hAnsi="宋体" w:eastAsia="宋体" w:cs="宋体"/>
                <w:sz w:val="16"/>
              </w:rPr>
              <w:t>《河南省已购公有住房和经济适用房上市交易管理暂行办法》</w:t>
            </w:r>
          </w:p>
        </w:tc>
        <w:tc>
          <w:tcPr>
            <w:tcW w:w="1565" w:type="dxa"/>
            <w:vMerge w:val="restart"/>
            <w:tcBorders>
              <w:top w:val="single" w:color="000000" w:sz="8" w:space="0"/>
              <w:left w:val="single" w:color="000000" w:sz="8" w:space="0"/>
              <w:bottom w:val="nil"/>
              <w:right w:val="single" w:color="000000" w:sz="8" w:space="0"/>
            </w:tcBorders>
            <w:vAlign w:val="bottom"/>
          </w:tcPr>
          <w:p>
            <w:pPr>
              <w:spacing w:after="0"/>
              <w:ind w:left="40"/>
              <w:jc w:val="center"/>
            </w:pPr>
            <w:r>
              <w:rPr>
                <w:rFonts w:ascii="宋体" w:hAnsi="宋体" w:eastAsia="宋体" w:cs="宋体"/>
                <w:sz w:val="16"/>
              </w:rPr>
              <w:t>住房保障科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4" w:type="dxa"/>
            <w:left w:w="29" w:type="dxa"/>
            <w:bottom w:w="24" w:type="dxa"/>
            <w:right w:w="52" w:type="dxa"/>
          </w:tblCellMar>
        </w:tblPrEx>
        <w:trPr>
          <w:trHeight w:val="165" w:hRule="atLeast"/>
        </w:trPr>
        <w:tc>
          <w:tcPr>
            <w:tcW w:w="662" w:type="dxa"/>
            <w:tcBorders>
              <w:top w:val="single" w:color="000000" w:sz="8" w:space="0"/>
              <w:left w:val="single" w:color="000000" w:sz="8" w:space="0"/>
              <w:bottom w:val="nil"/>
              <w:right w:val="single" w:color="000000" w:sz="8" w:space="0"/>
            </w:tcBorders>
          </w:tcPr>
          <w:p>
            <w:pPr>
              <w:spacing w:after="0"/>
            </w:pPr>
          </w:p>
        </w:tc>
        <w:tc>
          <w:tcPr>
            <w:tcW w:w="7687" w:type="dxa"/>
            <w:tcBorders>
              <w:top w:val="single" w:color="000000" w:sz="8" w:space="0"/>
              <w:left w:val="single" w:color="000000" w:sz="8" w:space="0"/>
              <w:bottom w:val="nil"/>
              <w:right w:val="single" w:color="000000" w:sz="8" w:space="0"/>
            </w:tcBorders>
          </w:tcPr>
          <w:p>
            <w:pPr>
              <w:spacing w:after="0"/>
            </w:pPr>
          </w:p>
        </w:tc>
        <w:tc>
          <w:tcPr>
            <w:tcW w:w="4766" w:type="dxa"/>
            <w:tcBorders>
              <w:top w:val="single" w:color="000000" w:sz="8" w:space="0"/>
              <w:left w:val="single" w:color="000000" w:sz="8" w:space="0"/>
              <w:bottom w:val="nil"/>
              <w:right w:val="single" w:color="000000" w:sz="8" w:space="0"/>
            </w:tcBorders>
          </w:tcPr>
          <w:p>
            <w:pPr>
              <w:spacing w:after="0"/>
            </w:pP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nil"/>
              <w:right w:val="single" w:color="000000" w:sz="8" w:space="0"/>
            </w:tcBorders>
          </w:tcPr>
          <w:p>
            <w:pPr>
              <w:spacing w:after="0"/>
            </w:pPr>
          </w:p>
        </w:tc>
      </w:tr>
      <w:tr>
        <w:tblPrEx>
          <w:tblCellMar>
            <w:top w:w="24" w:type="dxa"/>
            <w:left w:w="29" w:type="dxa"/>
            <w:bottom w:w="24" w:type="dxa"/>
            <w:right w:w="52" w:type="dxa"/>
          </w:tblCellMar>
        </w:tblPrEx>
        <w:trPr>
          <w:trHeight w:val="454" w:hRule="atLeast"/>
        </w:trPr>
        <w:tc>
          <w:tcPr>
            <w:tcW w:w="662" w:type="dxa"/>
            <w:tcBorders>
              <w:top w:val="nil"/>
              <w:left w:val="single" w:color="000000" w:sz="8" w:space="0"/>
              <w:bottom w:val="single" w:color="000000" w:sz="8" w:space="0"/>
              <w:right w:val="single" w:color="000000" w:sz="8" w:space="0"/>
            </w:tcBorders>
          </w:tcPr>
          <w:p>
            <w:pPr>
              <w:spacing w:after="0"/>
              <w:ind w:left="41"/>
              <w:jc w:val="center"/>
            </w:pPr>
            <w:r>
              <w:rPr>
                <w:rFonts w:ascii="宋体" w:hAnsi="宋体" w:eastAsia="宋体" w:cs="宋体"/>
                <w:sz w:val="16"/>
              </w:rPr>
              <w:t>54</w:t>
            </w:r>
          </w:p>
        </w:tc>
        <w:tc>
          <w:tcPr>
            <w:tcW w:w="7687" w:type="dxa"/>
            <w:tcBorders>
              <w:top w:val="nil"/>
              <w:left w:val="single" w:color="000000" w:sz="8" w:space="0"/>
              <w:bottom w:val="single" w:color="000000" w:sz="8" w:space="0"/>
              <w:right w:val="single" w:color="000000" w:sz="8" w:space="0"/>
            </w:tcBorders>
          </w:tcPr>
          <w:p>
            <w:pPr>
              <w:spacing w:after="0"/>
              <w:ind w:left="39"/>
              <w:jc w:val="center"/>
            </w:pPr>
            <w:r>
              <w:rPr>
                <w:rFonts w:ascii="宋体" w:hAnsi="宋体" w:eastAsia="宋体" w:cs="宋体"/>
                <w:sz w:val="16"/>
              </w:rPr>
              <w:t>以非法手段按照成本价或者标准价购买公有住房或者政府提供优惠政策建设的房屋的处罚</w:t>
            </w:r>
          </w:p>
        </w:tc>
        <w:tc>
          <w:tcPr>
            <w:tcW w:w="4766" w:type="dxa"/>
            <w:tcBorders>
              <w:top w:val="nil"/>
              <w:left w:val="single" w:color="000000" w:sz="8" w:space="0"/>
              <w:bottom w:val="single" w:color="000000" w:sz="8" w:space="0"/>
              <w:right w:val="single" w:color="000000" w:sz="8" w:space="0"/>
            </w:tcBorders>
          </w:tcPr>
          <w:p>
            <w:pPr>
              <w:spacing w:after="0"/>
              <w:ind w:left="190"/>
            </w:pPr>
            <w:r>
              <w:rPr>
                <w:rFonts w:ascii="宋体" w:hAnsi="宋体" w:eastAsia="宋体" w:cs="宋体"/>
                <w:sz w:val="16"/>
              </w:rPr>
              <w:t>《河南省已购公有住房和经济适用房上市交易管理暂行办法》</w:t>
            </w:r>
          </w:p>
        </w:tc>
        <w:tc>
          <w:tcPr>
            <w:tcW w:w="1565" w:type="dxa"/>
            <w:tcBorders>
              <w:top w:val="nil"/>
              <w:left w:val="single" w:color="000000" w:sz="8" w:space="0"/>
              <w:bottom w:val="single" w:color="000000" w:sz="8" w:space="0"/>
              <w:right w:val="single" w:color="000000" w:sz="8" w:space="0"/>
            </w:tcBorders>
          </w:tcPr>
          <w:p>
            <w:pPr>
              <w:spacing w:after="0"/>
            </w:pPr>
          </w:p>
        </w:tc>
        <w:tc>
          <w:tcPr>
            <w:tcW w:w="1094" w:type="dxa"/>
            <w:tcBorders>
              <w:top w:val="nil"/>
              <w:left w:val="single" w:color="000000" w:sz="8" w:space="0"/>
              <w:bottom w:val="single" w:color="000000" w:sz="8" w:space="0"/>
              <w:right w:val="single" w:color="000000" w:sz="8" w:space="0"/>
            </w:tcBorders>
          </w:tcPr>
          <w:p>
            <w:pPr>
              <w:spacing w:after="0"/>
            </w:pPr>
          </w:p>
        </w:tc>
      </w:tr>
      <w:tr>
        <w:tblPrEx>
          <w:tblCellMar>
            <w:top w:w="24" w:type="dxa"/>
            <w:left w:w="29" w:type="dxa"/>
            <w:bottom w:w="24" w:type="dxa"/>
            <w:right w:w="5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55</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9"/>
              <w:jc w:val="center"/>
            </w:pPr>
            <w:r>
              <w:rPr>
                <w:rFonts w:ascii="宋体" w:hAnsi="宋体" w:eastAsia="宋体" w:cs="宋体"/>
                <w:sz w:val="16"/>
              </w:rPr>
              <w:t>房地产价格评估机构或者房地产估价师出具虚假或者重大差错的评估报告的处罚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9"/>
              <w:jc w:val="center"/>
            </w:pPr>
            <w:r>
              <w:rPr>
                <w:rFonts w:ascii="宋体" w:hAnsi="宋体" w:eastAsia="宋体" w:cs="宋体"/>
                <w:sz w:val="16"/>
              </w:rPr>
              <w:t>《国有土地上房屋征收与补偿条例》（国务院令第590号）</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117"/>
              <w:jc w:val="both"/>
            </w:pPr>
            <w:r>
              <w:rPr>
                <w:rFonts w:ascii="宋体" w:hAnsi="宋体" w:eastAsia="宋体" w:cs="宋体"/>
                <w:sz w:val="16"/>
              </w:rPr>
              <w:t>房地产开发管理科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4" w:type="dxa"/>
            <w:left w:w="29" w:type="dxa"/>
            <w:bottom w:w="24" w:type="dxa"/>
            <w:right w:w="5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56</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装修人未申报登记进行住宅室内装饰装修活动的处罚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8"/>
              <w:jc w:val="center"/>
            </w:pPr>
            <w:r>
              <w:rPr>
                <w:rFonts w:ascii="宋体" w:hAnsi="宋体" w:eastAsia="宋体" w:cs="宋体"/>
                <w:sz w:val="16"/>
              </w:rPr>
              <w:t>《住宅室内装饰装修管理办法》（建设部令第110号）</w:t>
            </w:r>
          </w:p>
        </w:tc>
        <w:tc>
          <w:tcPr>
            <w:tcW w:w="1565" w:type="dxa"/>
            <w:vMerge w:val="restart"/>
            <w:tcBorders>
              <w:top w:val="single" w:color="000000" w:sz="8" w:space="0"/>
              <w:left w:val="single" w:color="000000" w:sz="8" w:space="0"/>
              <w:bottom w:val="single" w:color="000000" w:sz="8" w:space="0"/>
              <w:right w:val="single" w:color="000000" w:sz="8" w:space="0"/>
            </w:tcBorders>
            <w:vAlign w:val="center"/>
          </w:tcPr>
          <w:p>
            <w:pPr>
              <w:spacing w:after="0"/>
              <w:ind w:left="40"/>
              <w:jc w:val="center"/>
            </w:pPr>
            <w:r>
              <w:rPr>
                <w:rFonts w:ascii="宋体" w:hAnsi="宋体" w:eastAsia="宋体" w:cs="宋体"/>
                <w:sz w:val="16"/>
              </w:rPr>
              <w:t>物业管理科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4" w:type="dxa"/>
            <w:left w:w="29" w:type="dxa"/>
            <w:bottom w:w="24" w:type="dxa"/>
            <w:right w:w="5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57</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7"/>
              <w:jc w:val="center"/>
            </w:pPr>
            <w:r>
              <w:rPr>
                <w:rFonts w:ascii="宋体" w:hAnsi="宋体" w:eastAsia="宋体" w:cs="宋体"/>
                <w:sz w:val="16"/>
              </w:rPr>
              <w:t>装修人将住宅室内装饰装修工程委托给不具有相应资质等级企业的处罚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8"/>
              <w:jc w:val="center"/>
            </w:pPr>
            <w:r>
              <w:rPr>
                <w:rFonts w:ascii="宋体" w:hAnsi="宋体" w:eastAsia="宋体" w:cs="宋体"/>
                <w:sz w:val="16"/>
              </w:rPr>
              <w:t>《住宅室内装饰装修管理办法》（建设部令第110号）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4" w:type="dxa"/>
            <w:left w:w="29" w:type="dxa"/>
            <w:bottom w:w="24" w:type="dxa"/>
            <w:right w:w="52" w:type="dxa"/>
          </w:tblCellMar>
        </w:tblPrEx>
        <w:trPr>
          <w:trHeight w:val="754"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58</w:t>
            </w:r>
          </w:p>
        </w:tc>
        <w:tc>
          <w:tcPr>
            <w:tcW w:w="7687" w:type="dxa"/>
            <w:tcBorders>
              <w:top w:val="single" w:color="000000" w:sz="8" w:space="0"/>
              <w:left w:val="single" w:color="000000" w:sz="8" w:space="0"/>
              <w:bottom w:val="single" w:color="000000" w:sz="8" w:space="0"/>
              <w:right w:val="single" w:color="000000" w:sz="8" w:space="0"/>
            </w:tcBorders>
          </w:tcPr>
          <w:p>
            <w:pPr>
              <w:spacing w:after="0"/>
              <w:jc w:val="center"/>
            </w:pPr>
            <w:r>
              <w:rPr>
                <w:rFonts w:ascii="宋体" w:hAnsi="宋体" w:eastAsia="宋体" w:cs="宋体"/>
                <w:sz w:val="16"/>
              </w:rPr>
              <w:t>将没有防水要求的房间或者阳台改为卫生间、厨房间的，或者拆除连接阳台的砖、混凝土墙体；损坏房屋原有节能设施或者降低节能效果；擅自拆改供暖、燃气管道和设施；未经原设计单位或者具有相应资质等级的设计单位提出设计方案，擅自超过设计标准或者规范增加楼面荷载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8"/>
              <w:jc w:val="center"/>
            </w:pPr>
            <w:r>
              <w:rPr>
                <w:rFonts w:ascii="宋体" w:hAnsi="宋体" w:eastAsia="宋体" w:cs="宋体"/>
                <w:sz w:val="16"/>
              </w:rPr>
              <w:t>《住宅室内装饰装修管理办法》（建设部令第110号）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4" w:type="dxa"/>
            <w:left w:w="29" w:type="dxa"/>
            <w:bottom w:w="24" w:type="dxa"/>
            <w:right w:w="5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59</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pPr>
            <w:r>
              <w:rPr>
                <w:rFonts w:ascii="宋体" w:hAnsi="宋体" w:eastAsia="宋体" w:cs="宋体"/>
                <w:sz w:val="16"/>
              </w:rPr>
              <w:t>装饰装修企业违反国家有关安全生产规定和安全生产技术规程，不按照规定采取必要的安全防护和消防措施，擅自动用明火作业和进行焊接作业的，或者对建筑安全事故隐患不采取措施予以消除的处罚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8"/>
              <w:jc w:val="center"/>
            </w:pPr>
            <w:r>
              <w:rPr>
                <w:rFonts w:ascii="宋体" w:hAnsi="宋体" w:eastAsia="宋体" w:cs="宋体"/>
                <w:sz w:val="16"/>
              </w:rPr>
              <w:t>《住宅室内装饰装修管理办法》（建设部令第110号）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4" w:type="dxa"/>
            <w:left w:w="29" w:type="dxa"/>
            <w:bottom w:w="24" w:type="dxa"/>
            <w:right w:w="5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60</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pPr>
            <w:r>
              <w:rPr>
                <w:rFonts w:ascii="宋体" w:hAnsi="宋体" w:eastAsia="宋体" w:cs="宋体"/>
                <w:sz w:val="16"/>
              </w:rPr>
              <w:t>物业管理单位发现装修人或者装饰装修企业有违反《住宅室内装饰装修管理办法》规定的行为不及时向有关部门报告的处罚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8"/>
              <w:jc w:val="center"/>
            </w:pPr>
            <w:r>
              <w:rPr>
                <w:rFonts w:ascii="宋体" w:hAnsi="宋体" w:eastAsia="宋体" w:cs="宋体"/>
                <w:sz w:val="16"/>
              </w:rPr>
              <w:t>《住宅室内装饰装修管理办法》（建设部令第110号）</w:t>
            </w:r>
          </w:p>
        </w:tc>
        <w:tc>
          <w:tcPr>
            <w:tcW w:w="0" w:type="auto"/>
            <w:vMerge w:val="continue"/>
            <w:tcBorders>
              <w:top w:val="nil"/>
              <w:left w:val="single" w:color="000000" w:sz="8" w:space="0"/>
              <w:bottom w:val="single" w:color="000000" w:sz="8" w:space="0"/>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4" w:type="dxa"/>
            <w:left w:w="29" w:type="dxa"/>
            <w:bottom w:w="24" w:type="dxa"/>
            <w:right w:w="52" w:type="dxa"/>
          </w:tblCellMar>
        </w:tblPrEx>
        <w:trPr>
          <w:trHeight w:val="734"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61</w:t>
            </w:r>
          </w:p>
        </w:tc>
        <w:tc>
          <w:tcPr>
            <w:tcW w:w="7687" w:type="dxa"/>
            <w:tcBorders>
              <w:top w:val="single" w:color="000000" w:sz="8" w:space="0"/>
              <w:left w:val="single" w:color="000000" w:sz="8" w:space="0"/>
              <w:bottom w:val="single" w:color="000000" w:sz="8" w:space="0"/>
              <w:right w:val="single" w:color="000000" w:sz="8" w:space="0"/>
            </w:tcBorders>
          </w:tcPr>
          <w:p>
            <w:pPr>
              <w:spacing w:after="0"/>
            </w:pPr>
            <w:r>
              <w:rPr>
                <w:rFonts w:ascii="宋体" w:hAnsi="宋体" w:eastAsia="宋体" w:cs="宋体"/>
                <w:sz w:val="16"/>
              </w:rPr>
              <w:t>公共租赁住房的所有权人及其委托的运营单位向不符合条件的对象出租公共租赁住房；公共租赁住房的所有权人及其委托的运营单位）未履行公共租赁住房及其配套设施维修养护义务；公共租赁住房的所有权人及其委托的运营单位改变公共租赁住房的保障性住房性质、用途，以及配套设施的规划用途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9"/>
              <w:jc w:val="center"/>
            </w:pPr>
            <w:r>
              <w:rPr>
                <w:rFonts w:ascii="宋体" w:hAnsi="宋体" w:eastAsia="宋体" w:cs="宋体"/>
                <w:sz w:val="16"/>
              </w:rPr>
              <w:t>《公共租赁住房管理办法》（住房和建设部令第11号）</w:t>
            </w:r>
          </w:p>
        </w:tc>
        <w:tc>
          <w:tcPr>
            <w:tcW w:w="1565" w:type="dxa"/>
            <w:vMerge w:val="restart"/>
            <w:tcBorders>
              <w:top w:val="single" w:color="000000" w:sz="8" w:space="0"/>
              <w:left w:val="single" w:color="000000" w:sz="8" w:space="0"/>
              <w:bottom w:val="single" w:color="000000" w:sz="8" w:space="0"/>
              <w:right w:val="single" w:color="000000" w:sz="8" w:space="0"/>
            </w:tcBorders>
            <w:vAlign w:val="center"/>
          </w:tcPr>
          <w:p>
            <w:pPr>
              <w:spacing w:after="0"/>
              <w:ind w:left="40"/>
              <w:jc w:val="center"/>
            </w:pPr>
            <w:r>
              <w:rPr>
                <w:rFonts w:ascii="宋体" w:hAnsi="宋体" w:eastAsia="宋体" w:cs="宋体"/>
                <w:sz w:val="16"/>
              </w:rPr>
              <w:t>住房保障科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4" w:type="dxa"/>
            <w:left w:w="29" w:type="dxa"/>
            <w:bottom w:w="24" w:type="dxa"/>
            <w:right w:w="5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62</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申请人隐瞒有关情况或者提供虚假材料申请公共租赁住房；以欺骗等不正手段，登记为轮候对象或者承租公共租赁住房的处罚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9"/>
              <w:jc w:val="center"/>
            </w:pPr>
            <w:r>
              <w:rPr>
                <w:rFonts w:ascii="宋体" w:hAnsi="宋体" w:eastAsia="宋体" w:cs="宋体"/>
                <w:sz w:val="16"/>
              </w:rPr>
              <w:t>《公共租赁住房管理办法》（住房和建设部令第11号）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4" w:type="dxa"/>
            <w:left w:w="29" w:type="dxa"/>
            <w:bottom w:w="24" w:type="dxa"/>
            <w:right w:w="52" w:type="dxa"/>
          </w:tblCellMar>
        </w:tblPrEx>
        <w:trPr>
          <w:trHeight w:val="734"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63</w:t>
            </w:r>
          </w:p>
        </w:tc>
        <w:tc>
          <w:tcPr>
            <w:tcW w:w="7687" w:type="dxa"/>
            <w:tcBorders>
              <w:top w:val="single" w:color="000000" w:sz="8" w:space="0"/>
              <w:left w:val="single" w:color="000000" w:sz="8" w:space="0"/>
              <w:bottom w:val="single" w:color="000000" w:sz="8" w:space="0"/>
              <w:right w:val="single" w:color="000000" w:sz="8" w:space="0"/>
            </w:tcBorders>
          </w:tcPr>
          <w:p>
            <w:pPr>
              <w:spacing w:after="0"/>
              <w:jc w:val="center"/>
            </w:pPr>
            <w:r>
              <w:rPr>
                <w:rFonts w:ascii="宋体" w:hAnsi="宋体" w:eastAsia="宋体" w:cs="宋体"/>
                <w:sz w:val="16"/>
              </w:rPr>
              <w:t>公共租赁住房承租人转借、转租或者擅自调换所承租公共租赁住房；改变所承租公共租赁住房用途；破坏或者擅自装修所承租公共租赁住房，拒不恢复原状；在公共租赁住房内从事违法活动；无正当理由连续6个月以上闲置公共租赁住房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9"/>
              <w:jc w:val="center"/>
            </w:pPr>
            <w:r>
              <w:rPr>
                <w:rFonts w:ascii="宋体" w:hAnsi="宋体" w:eastAsia="宋体" w:cs="宋体"/>
                <w:sz w:val="16"/>
              </w:rPr>
              <w:t>《公共租赁住房管理办法》（住房和建设部令第11号）</w:t>
            </w:r>
          </w:p>
        </w:tc>
        <w:tc>
          <w:tcPr>
            <w:tcW w:w="0" w:type="auto"/>
            <w:vMerge w:val="continue"/>
            <w:tcBorders>
              <w:top w:val="nil"/>
              <w:left w:val="single" w:color="000000" w:sz="8" w:space="0"/>
              <w:bottom w:val="single" w:color="000000" w:sz="8" w:space="0"/>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4" w:type="dxa"/>
            <w:left w:w="29" w:type="dxa"/>
            <w:bottom w:w="24" w:type="dxa"/>
            <w:right w:w="5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64</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40"/>
              <w:jc w:val="center"/>
            </w:pPr>
            <w:r>
              <w:rPr>
                <w:rFonts w:ascii="宋体" w:hAnsi="宋体" w:eastAsia="宋体" w:cs="宋体"/>
                <w:sz w:val="16"/>
              </w:rPr>
              <w:t>房地产经纪机构及其经纪人员提供公共租赁住房出租、转租、出售 等经纪业务的处罚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8"/>
              <w:jc w:val="center"/>
            </w:pPr>
            <w:r>
              <w:rPr>
                <w:rFonts w:ascii="宋体" w:hAnsi="宋体" w:eastAsia="宋体" w:cs="宋体"/>
                <w:sz w:val="16"/>
              </w:rPr>
              <w:t>《公共租赁住房管理办法》</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117"/>
              <w:jc w:val="both"/>
            </w:pPr>
            <w:r>
              <w:rPr>
                <w:rFonts w:ascii="宋体" w:hAnsi="宋体" w:eastAsia="宋体" w:cs="宋体"/>
                <w:sz w:val="16"/>
              </w:rPr>
              <w:t>房地产开发管理科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bl>
    <w:p>
      <w:pPr>
        <w:spacing w:after="0"/>
        <w:ind w:left="-1440" w:right="15394"/>
      </w:pPr>
    </w:p>
    <w:tbl>
      <w:tblPr>
        <w:tblStyle w:val="7"/>
        <w:tblW w:w="15775" w:type="dxa"/>
        <w:tblInd w:w="-1080" w:type="dxa"/>
        <w:tblLayout w:type="autofit"/>
        <w:tblCellMar>
          <w:top w:w="24" w:type="dxa"/>
          <w:left w:w="29" w:type="dxa"/>
          <w:bottom w:w="10" w:type="dxa"/>
          <w:right w:w="42" w:type="dxa"/>
        </w:tblCellMar>
      </w:tblPr>
      <w:tblGrid>
        <w:gridCol w:w="662"/>
        <w:gridCol w:w="7687"/>
        <w:gridCol w:w="4766"/>
        <w:gridCol w:w="1565"/>
        <w:gridCol w:w="1095"/>
      </w:tblGrid>
      <w:tr>
        <w:tblPrEx>
          <w:tblCellMar>
            <w:top w:w="24" w:type="dxa"/>
            <w:left w:w="29" w:type="dxa"/>
            <w:bottom w:w="10" w:type="dxa"/>
            <w:right w:w="42" w:type="dxa"/>
          </w:tblCellMar>
        </w:tblPrEx>
        <w:trPr>
          <w:trHeight w:val="542"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49"/>
            </w:pPr>
            <w:r>
              <w:rPr>
                <w:rFonts w:ascii="黑体" w:hAnsi="黑体" w:eastAsia="黑体" w:cs="黑体"/>
                <w:sz w:val="16"/>
              </w:rPr>
              <w:t>序号</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26"/>
              <w:jc w:val="center"/>
            </w:pPr>
            <w:r>
              <w:rPr>
                <w:rFonts w:ascii="黑体" w:hAnsi="黑体" w:eastAsia="黑体" w:cs="黑体"/>
                <w:sz w:val="16"/>
              </w:rPr>
              <w:t>违法行为</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29"/>
              <w:jc w:val="center"/>
            </w:pPr>
            <w:r>
              <w:rPr>
                <w:rFonts w:ascii="黑体" w:hAnsi="黑体" w:eastAsia="黑体" w:cs="黑体"/>
                <w:sz w:val="16"/>
              </w:rPr>
              <w:t>行政处罚实施依据</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30"/>
              <w:jc w:val="center"/>
            </w:pPr>
            <w:r>
              <w:rPr>
                <w:rFonts w:ascii="黑体" w:hAnsi="黑体" w:eastAsia="黑体" w:cs="黑体"/>
                <w:sz w:val="16"/>
              </w:rPr>
              <w:t>责任科室</w:t>
            </w:r>
          </w:p>
        </w:tc>
        <w:tc>
          <w:tcPr>
            <w:tcW w:w="1094" w:type="dxa"/>
            <w:tcBorders>
              <w:top w:val="single" w:color="000000" w:sz="8" w:space="0"/>
              <w:left w:val="single" w:color="000000" w:sz="8" w:space="0"/>
              <w:bottom w:val="single" w:color="000000" w:sz="8" w:space="0"/>
              <w:right w:val="single" w:color="000000" w:sz="8" w:space="0"/>
            </w:tcBorders>
            <w:vAlign w:val="center"/>
          </w:tcPr>
          <w:p>
            <w:pPr>
              <w:spacing w:after="0"/>
              <w:ind w:left="28"/>
              <w:jc w:val="center"/>
            </w:pPr>
            <w:r>
              <w:rPr>
                <w:rFonts w:ascii="黑体" w:hAnsi="黑体" w:eastAsia="黑体" w:cs="黑体"/>
                <w:sz w:val="16"/>
              </w:rPr>
              <w:t>备注</w:t>
            </w:r>
          </w:p>
        </w:tc>
      </w:tr>
      <w:tr>
        <w:tblPrEx>
          <w:tblCellMar>
            <w:top w:w="24" w:type="dxa"/>
            <w:left w:w="29" w:type="dxa"/>
            <w:bottom w:w="10" w:type="dxa"/>
            <w:right w:w="4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1"/>
              <w:jc w:val="center"/>
            </w:pPr>
            <w:r>
              <w:rPr>
                <w:rFonts w:ascii="宋体" w:hAnsi="宋体" w:eastAsia="宋体" w:cs="宋体"/>
                <w:sz w:val="16"/>
              </w:rPr>
              <w:t>65</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29"/>
              <w:jc w:val="center"/>
            </w:pPr>
            <w:r>
              <w:rPr>
                <w:rFonts w:ascii="宋体" w:hAnsi="宋体" w:eastAsia="宋体" w:cs="宋体"/>
                <w:sz w:val="16"/>
              </w:rPr>
              <w:t>伪造、涂改、转借、转让房屋租赁登记备案证明的处罚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0"/>
              <w:jc w:val="center"/>
            </w:pPr>
            <w:r>
              <w:rPr>
                <w:rFonts w:ascii="宋体" w:hAnsi="宋体" w:eastAsia="宋体" w:cs="宋体"/>
                <w:sz w:val="16"/>
              </w:rPr>
              <w:t>《河南省房屋租赁管理办法》（省政府令第167号）</w:t>
            </w:r>
          </w:p>
        </w:tc>
        <w:tc>
          <w:tcPr>
            <w:tcW w:w="1565" w:type="dxa"/>
            <w:vMerge w:val="restart"/>
            <w:tcBorders>
              <w:top w:val="single" w:color="000000" w:sz="8" w:space="0"/>
              <w:left w:val="single" w:color="000000" w:sz="8" w:space="0"/>
              <w:bottom w:val="nil"/>
              <w:right w:val="single" w:color="000000" w:sz="8" w:space="0"/>
            </w:tcBorders>
            <w:vAlign w:val="bottom"/>
          </w:tcPr>
          <w:p>
            <w:pPr>
              <w:spacing w:after="0"/>
              <w:ind w:left="117"/>
              <w:jc w:val="both"/>
            </w:pPr>
            <w:r>
              <w:rPr>
                <w:rFonts w:ascii="宋体" w:hAnsi="宋体" w:eastAsia="宋体" w:cs="宋体"/>
                <w:sz w:val="16"/>
              </w:rPr>
              <w:t>房地产开发管理科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4" w:type="dxa"/>
            <w:left w:w="29" w:type="dxa"/>
            <w:bottom w:w="10" w:type="dxa"/>
            <w:right w:w="42" w:type="dxa"/>
          </w:tblCellMar>
        </w:tblPrEx>
        <w:trPr>
          <w:trHeight w:val="117" w:hRule="atLeast"/>
        </w:trPr>
        <w:tc>
          <w:tcPr>
            <w:tcW w:w="662" w:type="dxa"/>
            <w:tcBorders>
              <w:top w:val="single" w:color="000000" w:sz="8" w:space="0"/>
              <w:left w:val="single" w:color="000000" w:sz="8" w:space="0"/>
              <w:bottom w:val="nil"/>
              <w:right w:val="single" w:color="000000" w:sz="8" w:space="0"/>
            </w:tcBorders>
          </w:tcPr>
          <w:p>
            <w:pPr>
              <w:spacing w:after="0"/>
            </w:pPr>
          </w:p>
        </w:tc>
        <w:tc>
          <w:tcPr>
            <w:tcW w:w="7687" w:type="dxa"/>
            <w:tcBorders>
              <w:top w:val="single" w:color="000000" w:sz="8" w:space="0"/>
              <w:left w:val="single" w:color="000000" w:sz="8" w:space="0"/>
              <w:bottom w:val="nil"/>
              <w:right w:val="single" w:color="000000" w:sz="8" w:space="0"/>
            </w:tcBorders>
          </w:tcPr>
          <w:p>
            <w:pPr>
              <w:spacing w:after="0"/>
            </w:pPr>
          </w:p>
        </w:tc>
        <w:tc>
          <w:tcPr>
            <w:tcW w:w="4766" w:type="dxa"/>
            <w:tcBorders>
              <w:top w:val="single" w:color="000000" w:sz="8" w:space="0"/>
              <w:left w:val="single" w:color="000000" w:sz="8" w:space="0"/>
              <w:bottom w:val="nil"/>
              <w:right w:val="single" w:color="000000" w:sz="8" w:space="0"/>
            </w:tcBorders>
          </w:tcPr>
          <w:p>
            <w:pPr>
              <w:spacing w:after="0"/>
            </w:pP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nil"/>
              <w:right w:val="single" w:color="000000" w:sz="8" w:space="0"/>
            </w:tcBorders>
          </w:tcPr>
          <w:p>
            <w:pPr>
              <w:spacing w:after="0"/>
            </w:pPr>
          </w:p>
        </w:tc>
      </w:tr>
      <w:tr>
        <w:tblPrEx>
          <w:tblCellMar>
            <w:top w:w="24" w:type="dxa"/>
            <w:left w:w="29" w:type="dxa"/>
            <w:bottom w:w="10" w:type="dxa"/>
            <w:right w:w="42" w:type="dxa"/>
          </w:tblCellMar>
        </w:tblPrEx>
        <w:trPr>
          <w:trHeight w:val="502" w:hRule="atLeast"/>
        </w:trPr>
        <w:tc>
          <w:tcPr>
            <w:tcW w:w="662" w:type="dxa"/>
            <w:tcBorders>
              <w:top w:val="nil"/>
              <w:left w:val="single" w:color="000000" w:sz="8" w:space="0"/>
              <w:bottom w:val="single" w:color="000000" w:sz="8" w:space="0"/>
              <w:right w:val="single" w:color="000000" w:sz="8" w:space="0"/>
            </w:tcBorders>
            <w:vAlign w:val="center"/>
          </w:tcPr>
          <w:p>
            <w:pPr>
              <w:spacing w:after="0"/>
              <w:ind w:left="31"/>
              <w:jc w:val="center"/>
            </w:pPr>
            <w:r>
              <w:rPr>
                <w:rFonts w:ascii="宋体" w:hAnsi="宋体" w:eastAsia="宋体" w:cs="宋体"/>
                <w:sz w:val="16"/>
              </w:rPr>
              <w:t>66</w:t>
            </w:r>
          </w:p>
        </w:tc>
        <w:tc>
          <w:tcPr>
            <w:tcW w:w="7687" w:type="dxa"/>
            <w:tcBorders>
              <w:top w:val="nil"/>
              <w:left w:val="single" w:color="000000" w:sz="8" w:space="0"/>
              <w:bottom w:val="single" w:color="000000" w:sz="8" w:space="0"/>
              <w:right w:val="single" w:color="000000" w:sz="8" w:space="0"/>
            </w:tcBorders>
          </w:tcPr>
          <w:p>
            <w:pPr>
              <w:spacing w:after="0"/>
              <w:jc w:val="center"/>
            </w:pPr>
            <w:r>
              <w:rPr>
                <w:rFonts w:ascii="宋体" w:hAnsi="宋体" w:eastAsia="宋体" w:cs="宋体"/>
                <w:sz w:val="16"/>
              </w:rPr>
              <w:t>房地产经纪机构和房地产经纪人员居间、代理不符合规定的房屋租赁业务；对租赁当事人隐瞒真实的房屋租金等信息以赚取差价；承租自己提供经纪业务的房屋的处罚</w:t>
            </w:r>
          </w:p>
        </w:tc>
        <w:tc>
          <w:tcPr>
            <w:tcW w:w="4766" w:type="dxa"/>
            <w:tcBorders>
              <w:top w:val="nil"/>
              <w:left w:val="single" w:color="000000" w:sz="8" w:space="0"/>
              <w:bottom w:val="single" w:color="000000" w:sz="8" w:space="0"/>
              <w:right w:val="single" w:color="000000" w:sz="8" w:space="0"/>
            </w:tcBorders>
            <w:vAlign w:val="center"/>
          </w:tcPr>
          <w:p>
            <w:pPr>
              <w:spacing w:after="0"/>
              <w:ind w:left="30"/>
              <w:jc w:val="center"/>
            </w:pPr>
            <w:r>
              <w:rPr>
                <w:rFonts w:ascii="宋体" w:hAnsi="宋体" w:eastAsia="宋体" w:cs="宋体"/>
                <w:sz w:val="16"/>
              </w:rPr>
              <w:t>《河南省房屋租赁管理办法》（省政府令第167号）</w:t>
            </w:r>
          </w:p>
        </w:tc>
        <w:tc>
          <w:tcPr>
            <w:tcW w:w="1565" w:type="dxa"/>
            <w:tcBorders>
              <w:top w:val="nil"/>
              <w:left w:val="single" w:color="000000" w:sz="8" w:space="0"/>
              <w:bottom w:val="single" w:color="000000" w:sz="8" w:space="0"/>
              <w:right w:val="single" w:color="000000" w:sz="8" w:space="0"/>
            </w:tcBorders>
          </w:tcPr>
          <w:p>
            <w:pPr>
              <w:spacing w:after="0"/>
            </w:pPr>
          </w:p>
        </w:tc>
        <w:tc>
          <w:tcPr>
            <w:tcW w:w="1094" w:type="dxa"/>
            <w:tcBorders>
              <w:top w:val="nil"/>
              <w:left w:val="single" w:color="000000" w:sz="8" w:space="0"/>
              <w:bottom w:val="single" w:color="000000" w:sz="8" w:space="0"/>
              <w:right w:val="single" w:color="000000" w:sz="8" w:space="0"/>
            </w:tcBorders>
          </w:tcPr>
          <w:p>
            <w:pPr>
              <w:spacing w:after="0"/>
            </w:pPr>
          </w:p>
        </w:tc>
      </w:tr>
      <w:tr>
        <w:tblPrEx>
          <w:tblCellMar>
            <w:top w:w="24" w:type="dxa"/>
            <w:left w:w="29" w:type="dxa"/>
            <w:bottom w:w="10" w:type="dxa"/>
            <w:right w:w="4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1"/>
              <w:jc w:val="center"/>
            </w:pPr>
            <w:r>
              <w:rPr>
                <w:rFonts w:ascii="宋体" w:hAnsi="宋体" w:eastAsia="宋体" w:cs="宋体"/>
                <w:sz w:val="16"/>
              </w:rPr>
              <w:t>67</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28"/>
              <w:jc w:val="center"/>
            </w:pPr>
            <w:r>
              <w:rPr>
                <w:rFonts w:ascii="宋体" w:hAnsi="宋体" w:eastAsia="宋体" w:cs="宋体"/>
                <w:sz w:val="16"/>
              </w:rPr>
              <w:t>工程勘察企业未按照工程建设强制性标准进行勘察、弄虚作假、提供虚假成果资料的处罚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29"/>
              <w:jc w:val="center"/>
            </w:pPr>
            <w:r>
              <w:rPr>
                <w:rFonts w:ascii="宋体" w:hAnsi="宋体" w:eastAsia="宋体" w:cs="宋体"/>
                <w:sz w:val="16"/>
              </w:rPr>
              <w:t>《建设工程勘察质量管理办法》（建设部令第163号）</w:t>
            </w:r>
          </w:p>
        </w:tc>
        <w:tc>
          <w:tcPr>
            <w:tcW w:w="1565" w:type="dxa"/>
            <w:vMerge w:val="restart"/>
            <w:tcBorders>
              <w:top w:val="single" w:color="000000" w:sz="8" w:space="0"/>
              <w:left w:val="single" w:color="000000" w:sz="8" w:space="0"/>
              <w:bottom w:val="nil"/>
              <w:right w:val="single" w:color="000000" w:sz="8" w:space="0"/>
            </w:tcBorders>
            <w:vAlign w:val="bottom"/>
          </w:tcPr>
          <w:p>
            <w:pPr>
              <w:spacing w:after="0"/>
              <w:ind w:left="117"/>
              <w:jc w:val="both"/>
            </w:pPr>
            <w:r>
              <w:rPr>
                <w:rFonts w:ascii="宋体" w:hAnsi="宋体" w:eastAsia="宋体" w:cs="宋体"/>
                <w:sz w:val="16"/>
              </w:rPr>
              <w:t>城市与建筑设计科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4" w:type="dxa"/>
            <w:left w:w="29" w:type="dxa"/>
            <w:bottom w:w="10" w:type="dxa"/>
            <w:right w:w="42" w:type="dxa"/>
          </w:tblCellMar>
        </w:tblPrEx>
        <w:trPr>
          <w:trHeight w:val="115" w:hRule="atLeast"/>
        </w:trPr>
        <w:tc>
          <w:tcPr>
            <w:tcW w:w="662" w:type="dxa"/>
            <w:tcBorders>
              <w:top w:val="single" w:color="000000" w:sz="8" w:space="0"/>
              <w:left w:val="single" w:color="000000" w:sz="8" w:space="0"/>
              <w:bottom w:val="nil"/>
              <w:right w:val="single" w:color="000000" w:sz="8" w:space="0"/>
            </w:tcBorders>
          </w:tcPr>
          <w:p>
            <w:pPr>
              <w:spacing w:after="0"/>
            </w:pPr>
          </w:p>
        </w:tc>
        <w:tc>
          <w:tcPr>
            <w:tcW w:w="7687" w:type="dxa"/>
            <w:tcBorders>
              <w:top w:val="single" w:color="000000" w:sz="8" w:space="0"/>
              <w:left w:val="single" w:color="000000" w:sz="8" w:space="0"/>
              <w:bottom w:val="nil"/>
              <w:right w:val="single" w:color="000000" w:sz="8" w:space="0"/>
            </w:tcBorders>
          </w:tcPr>
          <w:p>
            <w:pPr>
              <w:spacing w:after="0"/>
            </w:pPr>
          </w:p>
        </w:tc>
        <w:tc>
          <w:tcPr>
            <w:tcW w:w="4766" w:type="dxa"/>
            <w:tcBorders>
              <w:top w:val="single" w:color="000000" w:sz="8" w:space="0"/>
              <w:left w:val="single" w:color="000000" w:sz="8" w:space="0"/>
              <w:bottom w:val="nil"/>
              <w:right w:val="single" w:color="000000" w:sz="8" w:space="0"/>
            </w:tcBorders>
          </w:tcPr>
          <w:p>
            <w:pPr>
              <w:spacing w:after="0"/>
            </w:pP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nil"/>
              <w:right w:val="single" w:color="000000" w:sz="8" w:space="0"/>
            </w:tcBorders>
          </w:tcPr>
          <w:p>
            <w:pPr>
              <w:spacing w:after="0"/>
            </w:pPr>
          </w:p>
        </w:tc>
      </w:tr>
      <w:tr>
        <w:tblPrEx>
          <w:tblCellMar>
            <w:top w:w="24" w:type="dxa"/>
            <w:left w:w="29" w:type="dxa"/>
            <w:bottom w:w="10" w:type="dxa"/>
            <w:right w:w="42" w:type="dxa"/>
          </w:tblCellMar>
        </w:tblPrEx>
        <w:trPr>
          <w:trHeight w:val="504" w:hRule="atLeast"/>
        </w:trPr>
        <w:tc>
          <w:tcPr>
            <w:tcW w:w="662" w:type="dxa"/>
            <w:tcBorders>
              <w:top w:val="nil"/>
              <w:left w:val="single" w:color="000000" w:sz="8" w:space="0"/>
              <w:bottom w:val="single" w:color="000000" w:sz="8" w:space="0"/>
              <w:right w:val="single" w:color="000000" w:sz="8" w:space="0"/>
            </w:tcBorders>
            <w:vAlign w:val="center"/>
          </w:tcPr>
          <w:p>
            <w:pPr>
              <w:spacing w:after="0"/>
              <w:ind w:left="31"/>
              <w:jc w:val="center"/>
            </w:pPr>
            <w:r>
              <w:rPr>
                <w:rFonts w:ascii="宋体" w:hAnsi="宋体" w:eastAsia="宋体" w:cs="宋体"/>
                <w:sz w:val="16"/>
              </w:rPr>
              <w:t>68</w:t>
            </w:r>
          </w:p>
        </w:tc>
        <w:tc>
          <w:tcPr>
            <w:tcW w:w="7687" w:type="dxa"/>
            <w:tcBorders>
              <w:top w:val="nil"/>
              <w:left w:val="single" w:color="000000" w:sz="8" w:space="0"/>
              <w:bottom w:val="single" w:color="000000" w:sz="8" w:space="0"/>
              <w:right w:val="single" w:color="000000" w:sz="8" w:space="0"/>
            </w:tcBorders>
          </w:tcPr>
          <w:p>
            <w:pPr>
              <w:spacing w:after="0"/>
              <w:jc w:val="center"/>
            </w:pPr>
            <w:r>
              <w:rPr>
                <w:rFonts w:ascii="宋体" w:hAnsi="宋体" w:eastAsia="宋体" w:cs="宋体"/>
                <w:sz w:val="16"/>
              </w:rPr>
              <w:t>工程勘察企业勘察文件没有责任人签字或者签字不全；原始记录不按照规定记录或者记录不完整；不参加施工验槽；项目完成后，勘察文件不归档保存的处罚</w:t>
            </w:r>
          </w:p>
        </w:tc>
        <w:tc>
          <w:tcPr>
            <w:tcW w:w="4766" w:type="dxa"/>
            <w:tcBorders>
              <w:top w:val="nil"/>
              <w:left w:val="single" w:color="000000" w:sz="8" w:space="0"/>
              <w:bottom w:val="single" w:color="000000" w:sz="8" w:space="0"/>
              <w:right w:val="single" w:color="000000" w:sz="8" w:space="0"/>
            </w:tcBorders>
            <w:vAlign w:val="center"/>
          </w:tcPr>
          <w:p>
            <w:pPr>
              <w:spacing w:after="0"/>
              <w:ind w:left="29"/>
              <w:jc w:val="center"/>
            </w:pPr>
            <w:r>
              <w:rPr>
                <w:rFonts w:ascii="宋体" w:hAnsi="宋体" w:eastAsia="宋体" w:cs="宋体"/>
                <w:sz w:val="16"/>
              </w:rPr>
              <w:t>《建设工程勘察质量管理办法》（建设部令第163号）</w:t>
            </w:r>
          </w:p>
        </w:tc>
        <w:tc>
          <w:tcPr>
            <w:tcW w:w="1565" w:type="dxa"/>
            <w:tcBorders>
              <w:top w:val="nil"/>
              <w:left w:val="single" w:color="000000" w:sz="8" w:space="0"/>
              <w:bottom w:val="single" w:color="000000" w:sz="8" w:space="0"/>
              <w:right w:val="single" w:color="000000" w:sz="8" w:space="0"/>
            </w:tcBorders>
          </w:tcPr>
          <w:p>
            <w:pPr>
              <w:spacing w:after="0"/>
            </w:pPr>
          </w:p>
        </w:tc>
        <w:tc>
          <w:tcPr>
            <w:tcW w:w="1094" w:type="dxa"/>
            <w:tcBorders>
              <w:top w:val="nil"/>
              <w:left w:val="single" w:color="000000" w:sz="8" w:space="0"/>
              <w:bottom w:val="single" w:color="000000" w:sz="8" w:space="0"/>
              <w:right w:val="single" w:color="000000" w:sz="8" w:space="0"/>
            </w:tcBorders>
          </w:tcPr>
          <w:p>
            <w:pPr>
              <w:spacing w:after="0"/>
            </w:pPr>
          </w:p>
        </w:tc>
      </w:tr>
      <w:tr>
        <w:tblPrEx>
          <w:tblCellMar>
            <w:top w:w="24" w:type="dxa"/>
            <w:left w:w="29" w:type="dxa"/>
            <w:bottom w:w="10" w:type="dxa"/>
            <w:right w:w="4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1"/>
              <w:jc w:val="center"/>
            </w:pPr>
            <w:r>
              <w:rPr>
                <w:rFonts w:ascii="宋体" w:hAnsi="宋体" w:eastAsia="宋体" w:cs="宋体"/>
                <w:sz w:val="16"/>
              </w:rPr>
              <w:t>69</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27"/>
              <w:jc w:val="center"/>
            </w:pPr>
            <w:r>
              <w:rPr>
                <w:rFonts w:ascii="宋体" w:hAnsi="宋体" w:eastAsia="宋体" w:cs="宋体"/>
                <w:sz w:val="16"/>
              </w:rPr>
              <w:t>给予勘察企业罚款处罚的，对企业法定代表人和责任人的处罚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29"/>
              <w:jc w:val="center"/>
            </w:pPr>
            <w:r>
              <w:rPr>
                <w:rFonts w:ascii="宋体" w:hAnsi="宋体" w:eastAsia="宋体" w:cs="宋体"/>
                <w:sz w:val="16"/>
              </w:rPr>
              <w:t>《建设工程勘察质量管理办法》</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117"/>
              <w:jc w:val="both"/>
            </w:pPr>
            <w:r>
              <w:rPr>
                <w:rFonts w:ascii="宋体" w:hAnsi="宋体" w:eastAsia="宋体" w:cs="宋体"/>
                <w:sz w:val="16"/>
              </w:rPr>
              <w:t>城市与建筑设计科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4" w:type="dxa"/>
            <w:left w:w="29" w:type="dxa"/>
            <w:bottom w:w="10" w:type="dxa"/>
            <w:right w:w="42" w:type="dxa"/>
          </w:tblCellMar>
        </w:tblPrEx>
        <w:trPr>
          <w:trHeight w:val="734"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1"/>
              <w:jc w:val="center"/>
            </w:pPr>
            <w:r>
              <w:rPr>
                <w:rFonts w:ascii="宋体" w:hAnsi="宋体" w:eastAsia="宋体" w:cs="宋体"/>
                <w:sz w:val="16"/>
              </w:rPr>
              <w:t>70</w:t>
            </w:r>
          </w:p>
        </w:tc>
        <w:tc>
          <w:tcPr>
            <w:tcW w:w="7687" w:type="dxa"/>
            <w:tcBorders>
              <w:top w:val="single" w:color="000000" w:sz="8" w:space="0"/>
              <w:left w:val="single" w:color="000000" w:sz="8" w:space="0"/>
              <w:bottom w:val="single" w:color="000000" w:sz="8" w:space="0"/>
              <w:right w:val="single" w:color="000000" w:sz="8" w:space="0"/>
            </w:tcBorders>
          </w:tcPr>
          <w:p>
            <w:pPr>
              <w:spacing w:after="0"/>
            </w:pPr>
            <w:r>
              <w:rPr>
                <w:rFonts w:ascii="宋体" w:hAnsi="宋体" w:eastAsia="宋体" w:cs="宋体"/>
                <w:sz w:val="16"/>
              </w:rPr>
              <w:t>审查机构超出范围从事施工图审查；使用不符合条件审查人员；未按规定的内容进行审查；未按规定上报审查过程中发现的违法违规行为；未按规定填写审查意见告知书；未按规定在审查合格书和施工图上签字盖章；已出具审查合格书的施工图，仍有违反法律、法规和工程建设强制性标准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108"/>
              <w:jc w:val="both"/>
            </w:pPr>
            <w:r>
              <w:rPr>
                <w:rFonts w:ascii="宋体" w:hAnsi="宋体" w:eastAsia="宋体" w:cs="宋体"/>
                <w:sz w:val="16"/>
              </w:rPr>
              <w:t>《房屋建筑和市政基础设施工程施工图设计文件审查管理办法》</w:t>
            </w:r>
          </w:p>
          <w:p>
            <w:pPr>
              <w:spacing w:after="0"/>
              <w:ind w:left="30"/>
              <w:jc w:val="center"/>
            </w:pPr>
            <w:r>
              <w:rPr>
                <w:rFonts w:ascii="宋体" w:hAnsi="宋体" w:eastAsia="宋体" w:cs="宋体"/>
                <w:sz w:val="16"/>
              </w:rPr>
              <w:t>(住房和城乡建设部令第13号）</w:t>
            </w:r>
          </w:p>
        </w:tc>
        <w:tc>
          <w:tcPr>
            <w:tcW w:w="1565" w:type="dxa"/>
            <w:vMerge w:val="restart"/>
            <w:tcBorders>
              <w:top w:val="single" w:color="000000" w:sz="8" w:space="0"/>
              <w:left w:val="single" w:color="000000" w:sz="8" w:space="0"/>
              <w:bottom w:val="single" w:color="000000" w:sz="8" w:space="0"/>
              <w:right w:val="single" w:color="000000" w:sz="8" w:space="0"/>
            </w:tcBorders>
            <w:vAlign w:val="center"/>
          </w:tcPr>
          <w:p>
            <w:pPr>
              <w:spacing w:after="0"/>
              <w:ind w:left="117"/>
              <w:jc w:val="both"/>
            </w:pPr>
            <w:r>
              <w:rPr>
                <w:rFonts w:ascii="宋体" w:hAnsi="宋体" w:eastAsia="宋体" w:cs="宋体"/>
                <w:sz w:val="16"/>
              </w:rPr>
              <w:t>城市与建筑设计科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4" w:type="dxa"/>
            <w:left w:w="29" w:type="dxa"/>
            <w:bottom w:w="10" w:type="dxa"/>
            <w:right w:w="4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1"/>
              <w:jc w:val="center"/>
            </w:pPr>
            <w:r>
              <w:rPr>
                <w:rFonts w:ascii="宋体" w:hAnsi="宋体" w:eastAsia="宋体" w:cs="宋体"/>
                <w:sz w:val="16"/>
              </w:rPr>
              <w:t>71</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建设单位压缩合理审查周期；提供不真实送审资料；对审查机构提出不符合法律、法规和工程建设强制性标准要求的处罚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108"/>
              <w:jc w:val="both"/>
            </w:pPr>
            <w:r>
              <w:rPr>
                <w:rFonts w:ascii="宋体" w:hAnsi="宋体" w:eastAsia="宋体" w:cs="宋体"/>
                <w:sz w:val="16"/>
              </w:rPr>
              <w:t>《房屋建筑和市政基础设施工程施工图设计文件审查管理办法》</w:t>
            </w:r>
          </w:p>
          <w:p>
            <w:pPr>
              <w:spacing w:after="0"/>
              <w:ind w:left="30"/>
              <w:jc w:val="center"/>
            </w:pPr>
            <w:r>
              <w:rPr>
                <w:rFonts w:ascii="宋体" w:hAnsi="宋体" w:eastAsia="宋体" w:cs="宋体"/>
                <w:sz w:val="16"/>
              </w:rPr>
              <w:t>(住房和城乡建设部令第13号）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4" w:type="dxa"/>
            <w:left w:w="29" w:type="dxa"/>
            <w:bottom w:w="10" w:type="dxa"/>
            <w:right w:w="4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1"/>
              <w:jc w:val="center"/>
            </w:pPr>
            <w:r>
              <w:rPr>
                <w:rFonts w:ascii="宋体" w:hAnsi="宋体" w:eastAsia="宋体" w:cs="宋体"/>
                <w:sz w:val="16"/>
              </w:rPr>
              <w:t>72</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27"/>
              <w:jc w:val="center"/>
            </w:pPr>
            <w:r>
              <w:rPr>
                <w:rFonts w:ascii="宋体" w:hAnsi="宋体" w:eastAsia="宋体" w:cs="宋体"/>
                <w:sz w:val="16"/>
              </w:rPr>
              <w:t>给予审查机构罚款处罚的，对机构法定代表人和直接责任人的处罚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108"/>
              <w:jc w:val="both"/>
            </w:pPr>
            <w:r>
              <w:rPr>
                <w:rFonts w:ascii="宋体" w:hAnsi="宋体" w:eastAsia="宋体" w:cs="宋体"/>
                <w:sz w:val="16"/>
              </w:rPr>
              <w:t>《房屋建筑和市政基础设施工程施工图设计文件审查管理办法》</w:t>
            </w:r>
          </w:p>
        </w:tc>
        <w:tc>
          <w:tcPr>
            <w:tcW w:w="0" w:type="auto"/>
            <w:vMerge w:val="continue"/>
            <w:tcBorders>
              <w:top w:val="nil"/>
              <w:left w:val="single" w:color="000000" w:sz="8" w:space="0"/>
              <w:bottom w:val="single" w:color="000000" w:sz="8" w:space="0"/>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4" w:type="dxa"/>
            <w:left w:w="29" w:type="dxa"/>
            <w:bottom w:w="10" w:type="dxa"/>
            <w:right w:w="42" w:type="dxa"/>
          </w:tblCellMar>
        </w:tblPrEx>
        <w:trPr>
          <w:trHeight w:val="1006"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1"/>
              <w:jc w:val="center"/>
            </w:pPr>
            <w:r>
              <w:rPr>
                <w:rFonts w:ascii="宋体" w:hAnsi="宋体" w:eastAsia="宋体" w:cs="宋体"/>
                <w:sz w:val="16"/>
              </w:rPr>
              <w:t>73</w:t>
            </w:r>
          </w:p>
        </w:tc>
        <w:tc>
          <w:tcPr>
            <w:tcW w:w="7687" w:type="dxa"/>
            <w:tcBorders>
              <w:top w:val="single" w:color="000000" w:sz="8" w:space="0"/>
              <w:left w:val="single" w:color="000000" w:sz="8" w:space="0"/>
              <w:bottom w:val="single" w:color="000000" w:sz="8" w:space="0"/>
              <w:right w:val="single" w:color="000000" w:sz="8" w:space="0"/>
            </w:tcBorders>
          </w:tcPr>
          <w:p>
            <w:pPr>
              <w:spacing w:after="0" w:line="232" w:lineRule="auto"/>
              <w:jc w:val="center"/>
            </w:pPr>
            <w:r>
              <w:rPr>
                <w:rFonts w:ascii="宋体" w:hAnsi="宋体" w:eastAsia="宋体" w:cs="宋体"/>
                <w:sz w:val="16"/>
              </w:rPr>
              <w:t>建设单位迫使承包方以低于成本的价格竞标；任意压缩合理工期；明示或暗示设计单位或者施工单位违反工程建设强制性标准，降低工程质量；施工图设计文件未经审查或者审查不合格，擅自施工；建设项目必须实行工程监理而未实行工程监理；未按照国家规定办理工程质量监督手续；明示或者暗示施工单位使用不合格</w:t>
            </w:r>
          </w:p>
          <w:p>
            <w:pPr>
              <w:spacing w:after="0"/>
              <w:jc w:val="center"/>
            </w:pPr>
            <w:r>
              <w:rPr>
                <w:rFonts w:ascii="宋体" w:hAnsi="宋体" w:eastAsia="宋体" w:cs="宋体"/>
                <w:sz w:val="16"/>
              </w:rPr>
              <w:t>的建筑材料、建筑构配件和设备；未按照国家规定将竣工验收报告、有关认可文件或者准许使用文件报送备案的处罚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27"/>
              <w:jc w:val="center"/>
            </w:pPr>
            <w:r>
              <w:rPr>
                <w:rFonts w:ascii="宋体" w:hAnsi="宋体" w:eastAsia="宋体" w:cs="宋体"/>
                <w:sz w:val="16"/>
              </w:rPr>
              <w:t>《建设工程质量管理条例》（国务院令第279号）</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2"/>
              <w:jc w:val="both"/>
            </w:pPr>
            <w:r>
              <w:rPr>
                <w:rFonts w:ascii="宋体" w:hAnsi="宋体" w:eastAsia="宋体" w:cs="宋体"/>
                <w:sz w:val="16"/>
              </w:rPr>
              <w:t>工程质量安全管理科</w:t>
            </w:r>
          </w:p>
          <w:p>
            <w:pPr>
              <w:spacing w:after="0"/>
              <w:ind w:left="2"/>
              <w:jc w:val="both"/>
            </w:pPr>
            <w:r>
              <w:rPr>
                <w:rFonts w:ascii="宋体" w:hAnsi="宋体" w:eastAsia="宋体" w:cs="宋体"/>
                <w:sz w:val="16"/>
              </w:rPr>
              <w:t>、城市与建筑设计科</w:t>
            </w:r>
          </w:p>
          <w:p>
            <w:pPr>
              <w:spacing w:after="0"/>
              <w:ind w:left="2"/>
            </w:pPr>
            <w:r>
              <w:rPr>
                <w:rFonts w:ascii="宋体" w:hAnsi="宋体" w:eastAsia="宋体" w:cs="宋体"/>
                <w:sz w:val="16"/>
              </w:rPr>
              <w:t>、行政审批服务科</w:t>
            </w:r>
          </w:p>
        </w:tc>
        <w:tc>
          <w:tcPr>
            <w:tcW w:w="1094"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未图审为设计科、审批科</w:t>
            </w:r>
          </w:p>
        </w:tc>
      </w:tr>
      <w:tr>
        <w:tblPrEx>
          <w:tblCellMar>
            <w:top w:w="24" w:type="dxa"/>
            <w:left w:w="29" w:type="dxa"/>
            <w:bottom w:w="10" w:type="dxa"/>
            <w:right w:w="42" w:type="dxa"/>
          </w:tblCellMar>
        </w:tblPrEx>
        <w:trPr>
          <w:trHeight w:val="734"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1"/>
              <w:jc w:val="center"/>
            </w:pPr>
            <w:r>
              <w:rPr>
                <w:rFonts w:ascii="宋体" w:hAnsi="宋体" w:eastAsia="宋体" w:cs="宋体"/>
                <w:sz w:val="16"/>
              </w:rPr>
              <w:t>74</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工程监理单位与建设单位或者施工单位串通，弄虚作假、降低工程质量；将不合格的建设工程、建筑材料、建筑构配件和设备按照合格签字的处罚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27"/>
              <w:jc w:val="center"/>
            </w:pPr>
            <w:r>
              <w:rPr>
                <w:rFonts w:ascii="宋体" w:hAnsi="宋体" w:eastAsia="宋体" w:cs="宋体"/>
                <w:sz w:val="16"/>
              </w:rPr>
              <w:t>《建设工程质量管理条例》（国务院令第279号）</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2"/>
              <w:jc w:val="both"/>
            </w:pPr>
            <w:r>
              <w:rPr>
                <w:rFonts w:ascii="宋体" w:hAnsi="宋体" w:eastAsia="宋体" w:cs="宋体"/>
                <w:sz w:val="16"/>
              </w:rPr>
              <w:t>工程质量安全管理科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4" w:type="dxa"/>
            <w:left w:w="29" w:type="dxa"/>
            <w:bottom w:w="10" w:type="dxa"/>
            <w:right w:w="4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1"/>
              <w:jc w:val="center"/>
            </w:pPr>
            <w:r>
              <w:rPr>
                <w:rFonts w:ascii="宋体" w:hAnsi="宋体" w:eastAsia="宋体" w:cs="宋体"/>
                <w:sz w:val="16"/>
              </w:rPr>
              <w:t>75</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0"/>
              <w:jc w:val="center"/>
            </w:pPr>
            <w:r>
              <w:rPr>
                <w:rFonts w:ascii="宋体" w:hAnsi="宋体" w:eastAsia="宋体" w:cs="宋体"/>
                <w:sz w:val="16"/>
              </w:rPr>
              <w:t>勘察、设计单位违反工程建设强制性标准进行勘察、设计的处罚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269"/>
            </w:pPr>
            <w:r>
              <w:rPr>
                <w:rFonts w:ascii="宋体" w:hAnsi="宋体" w:eastAsia="宋体" w:cs="宋体"/>
                <w:sz w:val="16"/>
              </w:rPr>
              <w:t>《实施工程建设强制性标准监督规定》（建设部令第81号）</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117"/>
              <w:jc w:val="both"/>
            </w:pPr>
            <w:r>
              <w:rPr>
                <w:rFonts w:ascii="宋体" w:hAnsi="宋体" w:eastAsia="宋体" w:cs="宋体"/>
                <w:sz w:val="16"/>
              </w:rPr>
              <w:t>城市与建筑设计科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4" w:type="dxa"/>
            <w:left w:w="29" w:type="dxa"/>
            <w:bottom w:w="10" w:type="dxa"/>
            <w:right w:w="4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1"/>
              <w:jc w:val="center"/>
            </w:pPr>
            <w:r>
              <w:rPr>
                <w:rFonts w:ascii="宋体" w:hAnsi="宋体" w:eastAsia="宋体" w:cs="宋体"/>
                <w:sz w:val="16"/>
              </w:rPr>
              <w:t>76</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28"/>
              <w:jc w:val="center"/>
            </w:pPr>
            <w:r>
              <w:rPr>
                <w:rFonts w:ascii="宋体" w:hAnsi="宋体" w:eastAsia="宋体" w:cs="宋体"/>
                <w:sz w:val="16"/>
              </w:rPr>
              <w:t>施工单位违反工程建设强制性标准的处罚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269"/>
            </w:pPr>
            <w:r>
              <w:rPr>
                <w:rFonts w:ascii="宋体" w:hAnsi="宋体" w:eastAsia="宋体" w:cs="宋体"/>
                <w:sz w:val="16"/>
              </w:rPr>
              <w:t>《实施工程建设强制性标准监督规定》（建设部令第81号）</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2"/>
              <w:jc w:val="both"/>
            </w:pPr>
            <w:r>
              <w:rPr>
                <w:rFonts w:ascii="宋体" w:hAnsi="宋体" w:eastAsia="宋体" w:cs="宋体"/>
                <w:sz w:val="16"/>
              </w:rPr>
              <w:t>工程质量安全管理科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4" w:type="dxa"/>
            <w:left w:w="29" w:type="dxa"/>
            <w:bottom w:w="10" w:type="dxa"/>
            <w:right w:w="4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1"/>
              <w:jc w:val="center"/>
            </w:pPr>
            <w:r>
              <w:rPr>
                <w:rFonts w:ascii="宋体" w:hAnsi="宋体" w:eastAsia="宋体" w:cs="宋体"/>
                <w:sz w:val="16"/>
              </w:rPr>
              <w:t>77</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pPr>
            <w:r>
              <w:rPr>
                <w:rFonts w:ascii="宋体" w:hAnsi="宋体" w:eastAsia="宋体" w:cs="宋体"/>
                <w:sz w:val="16"/>
              </w:rPr>
              <w:t>工程造价咨询企业在建筑工程计价活动中，出具有虚假记载、误导性陈述的工程造价成果文件的处罚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《建筑工程施工发包与承包计价管理办法》（住房和城乡建设部令第16号）</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278"/>
            </w:pPr>
            <w:r>
              <w:rPr>
                <w:rFonts w:ascii="宋体" w:hAnsi="宋体" w:eastAsia="宋体" w:cs="宋体"/>
                <w:sz w:val="16"/>
              </w:rPr>
              <w:t>科技与标准科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bl>
    <w:p>
      <w:pPr>
        <w:spacing w:after="0"/>
        <w:ind w:left="-1440" w:right="15394"/>
      </w:pPr>
    </w:p>
    <w:tbl>
      <w:tblPr>
        <w:tblStyle w:val="7"/>
        <w:tblW w:w="15775" w:type="dxa"/>
        <w:tblInd w:w="-1080" w:type="dxa"/>
        <w:tblLayout w:type="autofit"/>
        <w:tblCellMar>
          <w:top w:w="25" w:type="dxa"/>
          <w:left w:w="70" w:type="dxa"/>
          <w:bottom w:w="25" w:type="dxa"/>
          <w:right w:w="53" w:type="dxa"/>
        </w:tblCellMar>
      </w:tblPr>
      <w:tblGrid>
        <w:gridCol w:w="662"/>
        <w:gridCol w:w="7687"/>
        <w:gridCol w:w="4766"/>
        <w:gridCol w:w="1565"/>
        <w:gridCol w:w="1095"/>
      </w:tblGrid>
      <w:tr>
        <w:tblPrEx>
          <w:tblCellMar>
            <w:top w:w="25" w:type="dxa"/>
            <w:left w:w="70" w:type="dxa"/>
            <w:bottom w:w="25" w:type="dxa"/>
            <w:right w:w="53" w:type="dxa"/>
          </w:tblCellMar>
        </w:tblPrEx>
        <w:trPr>
          <w:trHeight w:val="542"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08"/>
            </w:pPr>
            <w:r>
              <w:rPr>
                <w:rFonts w:ascii="黑体" w:hAnsi="黑体" w:eastAsia="黑体" w:cs="黑体"/>
                <w:sz w:val="16"/>
              </w:rPr>
              <w:t>序号</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right="4"/>
              <w:jc w:val="center"/>
            </w:pPr>
            <w:r>
              <w:rPr>
                <w:rFonts w:ascii="黑体" w:hAnsi="黑体" w:eastAsia="黑体" w:cs="黑体"/>
                <w:sz w:val="16"/>
              </w:rPr>
              <w:t>违法行为</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2"/>
              <w:jc w:val="center"/>
            </w:pPr>
            <w:r>
              <w:rPr>
                <w:rFonts w:ascii="黑体" w:hAnsi="黑体" w:eastAsia="黑体" w:cs="黑体"/>
                <w:sz w:val="16"/>
              </w:rPr>
              <w:t>行政处罚实施依据</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right="1"/>
              <w:jc w:val="center"/>
            </w:pPr>
            <w:r>
              <w:rPr>
                <w:rFonts w:ascii="黑体" w:hAnsi="黑体" w:eastAsia="黑体" w:cs="黑体"/>
                <w:sz w:val="16"/>
              </w:rPr>
              <w:t>责任科室</w:t>
            </w:r>
          </w:p>
        </w:tc>
        <w:tc>
          <w:tcPr>
            <w:tcW w:w="1094" w:type="dxa"/>
            <w:tcBorders>
              <w:top w:val="single" w:color="000000" w:sz="8" w:space="0"/>
              <w:left w:val="single" w:color="000000" w:sz="8" w:space="0"/>
              <w:bottom w:val="single" w:color="000000" w:sz="8" w:space="0"/>
              <w:right w:val="single" w:color="000000" w:sz="8" w:space="0"/>
            </w:tcBorders>
            <w:vAlign w:val="center"/>
          </w:tcPr>
          <w:p>
            <w:pPr>
              <w:spacing w:after="0"/>
              <w:ind w:right="2"/>
              <w:jc w:val="center"/>
            </w:pPr>
            <w:r>
              <w:rPr>
                <w:rFonts w:ascii="黑体" w:hAnsi="黑体" w:eastAsia="黑体" w:cs="黑体"/>
                <w:sz w:val="16"/>
              </w:rPr>
              <w:t>备注</w:t>
            </w:r>
          </w:p>
        </w:tc>
      </w:tr>
      <w:tr>
        <w:tblPrEx>
          <w:tblCellMar>
            <w:top w:w="25" w:type="dxa"/>
            <w:left w:w="70" w:type="dxa"/>
            <w:bottom w:w="25" w:type="dxa"/>
            <w:right w:w="53"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
              <w:jc w:val="center"/>
            </w:pPr>
            <w:r>
              <w:rPr>
                <w:rFonts w:ascii="宋体" w:hAnsi="宋体" w:eastAsia="宋体" w:cs="宋体"/>
                <w:sz w:val="16"/>
              </w:rPr>
              <w:t>78</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擅自使用没有国家技术标准又未经审定通过的新技术、新材料，或者将不适用于抗震设防区的新技术、新材料用于抗震设防区，或者超出经审定的抗震烈度范围的处罚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1"/>
              <w:jc w:val="center"/>
            </w:pPr>
            <w:r>
              <w:rPr>
                <w:rFonts w:ascii="宋体" w:hAnsi="宋体" w:eastAsia="宋体" w:cs="宋体"/>
                <w:sz w:val="16"/>
              </w:rPr>
              <w:t>《房屋建筑工程抗震设防管理规定》</w:t>
            </w:r>
          </w:p>
        </w:tc>
        <w:tc>
          <w:tcPr>
            <w:tcW w:w="1565" w:type="dxa"/>
            <w:vMerge w:val="restart"/>
            <w:tcBorders>
              <w:top w:val="single" w:color="000000" w:sz="8" w:space="0"/>
              <w:left w:val="single" w:color="000000" w:sz="8" w:space="0"/>
              <w:bottom w:val="nil"/>
              <w:right w:val="single" w:color="000000" w:sz="8" w:space="0"/>
            </w:tcBorders>
            <w:vAlign w:val="bottom"/>
          </w:tcPr>
          <w:p>
            <w:pPr>
              <w:spacing w:after="0"/>
              <w:ind w:left="76"/>
              <w:jc w:val="both"/>
            </w:pPr>
            <w:r>
              <w:rPr>
                <w:rFonts w:ascii="宋体" w:hAnsi="宋体" w:eastAsia="宋体" w:cs="宋体"/>
                <w:sz w:val="16"/>
              </w:rPr>
              <w:t>城市与建筑设计科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5" w:type="dxa"/>
            <w:left w:w="70" w:type="dxa"/>
            <w:bottom w:w="25" w:type="dxa"/>
            <w:right w:w="53" w:type="dxa"/>
          </w:tblCellMar>
        </w:tblPrEx>
        <w:trPr>
          <w:trHeight w:val="166" w:hRule="atLeast"/>
        </w:trPr>
        <w:tc>
          <w:tcPr>
            <w:tcW w:w="662" w:type="dxa"/>
            <w:tcBorders>
              <w:top w:val="single" w:color="000000" w:sz="8" w:space="0"/>
              <w:left w:val="single" w:color="000000" w:sz="8" w:space="0"/>
              <w:bottom w:val="nil"/>
              <w:right w:val="single" w:color="000000" w:sz="8" w:space="0"/>
            </w:tcBorders>
          </w:tcPr>
          <w:p>
            <w:pPr>
              <w:spacing w:after="0"/>
            </w:pPr>
          </w:p>
        </w:tc>
        <w:tc>
          <w:tcPr>
            <w:tcW w:w="7687" w:type="dxa"/>
            <w:tcBorders>
              <w:top w:val="single" w:color="000000" w:sz="8" w:space="0"/>
              <w:left w:val="single" w:color="000000" w:sz="8" w:space="0"/>
              <w:bottom w:val="nil"/>
              <w:right w:val="single" w:color="000000" w:sz="8" w:space="0"/>
            </w:tcBorders>
          </w:tcPr>
          <w:p>
            <w:pPr>
              <w:spacing w:after="0"/>
            </w:pPr>
          </w:p>
        </w:tc>
        <w:tc>
          <w:tcPr>
            <w:tcW w:w="4766" w:type="dxa"/>
            <w:tcBorders>
              <w:top w:val="single" w:color="000000" w:sz="8" w:space="0"/>
              <w:left w:val="single" w:color="000000" w:sz="8" w:space="0"/>
              <w:bottom w:val="nil"/>
              <w:right w:val="single" w:color="000000" w:sz="8" w:space="0"/>
            </w:tcBorders>
          </w:tcPr>
          <w:p>
            <w:pPr>
              <w:spacing w:after="0"/>
            </w:pP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nil"/>
              <w:right w:val="single" w:color="000000" w:sz="8" w:space="0"/>
            </w:tcBorders>
          </w:tcPr>
          <w:p>
            <w:pPr>
              <w:spacing w:after="0"/>
            </w:pPr>
          </w:p>
        </w:tc>
      </w:tr>
      <w:tr>
        <w:tblPrEx>
          <w:tblCellMar>
            <w:top w:w="25" w:type="dxa"/>
            <w:left w:w="70" w:type="dxa"/>
            <w:bottom w:w="25" w:type="dxa"/>
            <w:right w:w="53" w:type="dxa"/>
          </w:tblCellMar>
        </w:tblPrEx>
        <w:trPr>
          <w:trHeight w:val="453" w:hRule="atLeast"/>
        </w:trPr>
        <w:tc>
          <w:tcPr>
            <w:tcW w:w="662" w:type="dxa"/>
            <w:tcBorders>
              <w:top w:val="nil"/>
              <w:left w:val="single" w:color="000000" w:sz="8" w:space="0"/>
              <w:bottom w:val="single" w:color="000000" w:sz="8" w:space="0"/>
              <w:right w:val="single" w:color="000000" w:sz="8" w:space="0"/>
            </w:tcBorders>
          </w:tcPr>
          <w:p>
            <w:pPr>
              <w:spacing w:after="0"/>
              <w:ind w:left="1"/>
              <w:jc w:val="center"/>
            </w:pPr>
            <w:r>
              <w:rPr>
                <w:rFonts w:ascii="宋体" w:hAnsi="宋体" w:eastAsia="宋体" w:cs="宋体"/>
                <w:sz w:val="16"/>
              </w:rPr>
              <w:t>79</w:t>
            </w:r>
          </w:p>
        </w:tc>
        <w:tc>
          <w:tcPr>
            <w:tcW w:w="7687" w:type="dxa"/>
            <w:tcBorders>
              <w:top w:val="nil"/>
              <w:left w:val="single" w:color="000000" w:sz="8" w:space="0"/>
              <w:bottom w:val="single" w:color="000000" w:sz="8" w:space="0"/>
              <w:right w:val="single" w:color="000000" w:sz="8" w:space="0"/>
            </w:tcBorders>
          </w:tcPr>
          <w:p>
            <w:pPr>
              <w:spacing w:after="0"/>
              <w:ind w:left="240"/>
            </w:pPr>
            <w:r>
              <w:rPr>
                <w:rFonts w:ascii="宋体" w:hAnsi="宋体" w:eastAsia="宋体" w:cs="宋体"/>
                <w:sz w:val="16"/>
              </w:rPr>
              <w:t>擅自变动或者破坏房屋建筑抗震构件、隔震装置、减震部件或者地震反应观测系统等抗震设施的处罚</w:t>
            </w:r>
          </w:p>
        </w:tc>
        <w:tc>
          <w:tcPr>
            <w:tcW w:w="4766" w:type="dxa"/>
            <w:tcBorders>
              <w:top w:val="nil"/>
              <w:left w:val="single" w:color="000000" w:sz="8" w:space="0"/>
              <w:bottom w:val="single" w:color="000000" w:sz="8" w:space="0"/>
              <w:right w:val="single" w:color="000000" w:sz="8" w:space="0"/>
            </w:tcBorders>
          </w:tcPr>
          <w:p>
            <w:pPr>
              <w:spacing w:after="0"/>
              <w:ind w:right="1"/>
              <w:jc w:val="center"/>
            </w:pPr>
            <w:r>
              <w:rPr>
                <w:rFonts w:ascii="宋体" w:hAnsi="宋体" w:eastAsia="宋体" w:cs="宋体"/>
                <w:sz w:val="16"/>
              </w:rPr>
              <w:t>《房屋建筑工程抗震设防管理规定》</w:t>
            </w:r>
          </w:p>
        </w:tc>
        <w:tc>
          <w:tcPr>
            <w:tcW w:w="1565" w:type="dxa"/>
            <w:tcBorders>
              <w:top w:val="nil"/>
              <w:left w:val="single" w:color="000000" w:sz="8" w:space="0"/>
              <w:bottom w:val="single" w:color="000000" w:sz="8" w:space="0"/>
              <w:right w:val="single" w:color="000000" w:sz="8" w:space="0"/>
            </w:tcBorders>
          </w:tcPr>
          <w:p>
            <w:pPr>
              <w:spacing w:after="0"/>
            </w:pPr>
          </w:p>
        </w:tc>
        <w:tc>
          <w:tcPr>
            <w:tcW w:w="1094" w:type="dxa"/>
            <w:tcBorders>
              <w:top w:val="nil"/>
              <w:left w:val="single" w:color="000000" w:sz="8" w:space="0"/>
              <w:bottom w:val="single" w:color="000000" w:sz="8" w:space="0"/>
              <w:right w:val="single" w:color="000000" w:sz="8" w:space="0"/>
            </w:tcBorders>
          </w:tcPr>
          <w:p>
            <w:pPr>
              <w:spacing w:after="0"/>
            </w:pPr>
          </w:p>
        </w:tc>
      </w:tr>
      <w:tr>
        <w:tblPrEx>
          <w:tblCellMar>
            <w:top w:w="25" w:type="dxa"/>
            <w:left w:w="70" w:type="dxa"/>
            <w:bottom w:w="25" w:type="dxa"/>
            <w:right w:w="53"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
              <w:jc w:val="center"/>
            </w:pPr>
            <w:r>
              <w:rPr>
                <w:rFonts w:ascii="宋体" w:hAnsi="宋体" w:eastAsia="宋体" w:cs="宋体"/>
                <w:sz w:val="16"/>
              </w:rPr>
              <w:t>80</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both"/>
            </w:pPr>
            <w:r>
              <w:rPr>
                <w:rFonts w:ascii="宋体" w:hAnsi="宋体" w:eastAsia="宋体" w:cs="宋体"/>
                <w:sz w:val="16"/>
              </w:rPr>
              <w:t>未对抗震能力受损、荷载增加或者需提高抗震设防类别的房屋建筑工程，进行抗震验算、修复和加固的处罚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1"/>
              <w:jc w:val="center"/>
            </w:pPr>
            <w:r>
              <w:rPr>
                <w:rFonts w:ascii="宋体" w:hAnsi="宋体" w:eastAsia="宋体" w:cs="宋体"/>
                <w:sz w:val="16"/>
              </w:rPr>
              <w:t>《房屋建筑工程抗震设防管理规定》</w:t>
            </w:r>
          </w:p>
        </w:tc>
        <w:tc>
          <w:tcPr>
            <w:tcW w:w="1565" w:type="dxa"/>
            <w:vMerge w:val="restart"/>
            <w:tcBorders>
              <w:top w:val="single" w:color="000000" w:sz="8" w:space="0"/>
              <w:left w:val="single" w:color="000000" w:sz="8" w:space="0"/>
              <w:bottom w:val="nil"/>
              <w:right w:val="single" w:color="000000" w:sz="8" w:space="0"/>
            </w:tcBorders>
            <w:vAlign w:val="bottom"/>
          </w:tcPr>
          <w:p>
            <w:pPr>
              <w:spacing w:after="0"/>
              <w:ind w:left="76"/>
              <w:jc w:val="both"/>
            </w:pPr>
            <w:r>
              <w:rPr>
                <w:rFonts w:ascii="宋体" w:hAnsi="宋体" w:eastAsia="宋体" w:cs="宋体"/>
                <w:sz w:val="16"/>
              </w:rPr>
              <w:t>城市与建筑设计科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5" w:type="dxa"/>
            <w:left w:w="70" w:type="dxa"/>
            <w:bottom w:w="25" w:type="dxa"/>
            <w:right w:w="53"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
              <w:jc w:val="center"/>
            </w:pPr>
            <w:r>
              <w:rPr>
                <w:rFonts w:ascii="宋体" w:hAnsi="宋体" w:eastAsia="宋体" w:cs="宋体"/>
                <w:sz w:val="16"/>
              </w:rPr>
              <w:t>81</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right="1"/>
              <w:jc w:val="center"/>
            </w:pPr>
            <w:r>
              <w:rPr>
                <w:rFonts w:ascii="宋体" w:hAnsi="宋体" w:eastAsia="宋体" w:cs="宋体"/>
                <w:sz w:val="16"/>
              </w:rPr>
              <w:t>经鉴定需抗震加固的房屋建筑工程在进行装修改造时未进行抗震加固的处罚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1"/>
              <w:jc w:val="center"/>
            </w:pPr>
            <w:r>
              <w:rPr>
                <w:rFonts w:ascii="宋体" w:hAnsi="宋体" w:eastAsia="宋体" w:cs="宋体"/>
                <w:sz w:val="16"/>
              </w:rPr>
              <w:t>《房屋建筑工程抗震设防管理规定》</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5" w:type="dxa"/>
            <w:left w:w="70" w:type="dxa"/>
            <w:bottom w:w="25" w:type="dxa"/>
            <w:right w:w="53"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
              <w:jc w:val="center"/>
            </w:pPr>
            <w:r>
              <w:rPr>
                <w:rFonts w:ascii="宋体" w:hAnsi="宋体" w:eastAsia="宋体" w:cs="宋体"/>
                <w:sz w:val="16"/>
              </w:rPr>
              <w:t>82</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right="3"/>
              <w:jc w:val="center"/>
            </w:pPr>
            <w:r>
              <w:rPr>
                <w:rFonts w:ascii="宋体" w:hAnsi="宋体" w:eastAsia="宋体" w:cs="宋体"/>
                <w:sz w:val="16"/>
              </w:rPr>
              <w:t>勘察、设计单位未按照抗震设防专项审查意见进行超限高层建筑工程勘察、设计的处罚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1"/>
              <w:jc w:val="center"/>
            </w:pPr>
            <w:r>
              <w:rPr>
                <w:rFonts w:ascii="宋体" w:hAnsi="宋体" w:eastAsia="宋体" w:cs="宋体"/>
                <w:sz w:val="16"/>
              </w:rPr>
              <w:t>《超限高层建筑工程抗震设防管理规定》</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5" w:type="dxa"/>
            <w:left w:w="70" w:type="dxa"/>
            <w:bottom w:w="25" w:type="dxa"/>
            <w:right w:w="53" w:type="dxa"/>
          </w:tblCellMar>
        </w:tblPrEx>
        <w:trPr>
          <w:trHeight w:val="117" w:hRule="atLeast"/>
        </w:trPr>
        <w:tc>
          <w:tcPr>
            <w:tcW w:w="662" w:type="dxa"/>
            <w:tcBorders>
              <w:top w:val="single" w:color="000000" w:sz="8" w:space="0"/>
              <w:left w:val="single" w:color="000000" w:sz="8" w:space="0"/>
              <w:bottom w:val="nil"/>
              <w:right w:val="single" w:color="000000" w:sz="8" w:space="0"/>
            </w:tcBorders>
          </w:tcPr>
          <w:p>
            <w:pPr>
              <w:spacing w:after="0"/>
            </w:pPr>
          </w:p>
        </w:tc>
        <w:tc>
          <w:tcPr>
            <w:tcW w:w="7687" w:type="dxa"/>
            <w:tcBorders>
              <w:top w:val="single" w:color="000000" w:sz="8" w:space="0"/>
              <w:left w:val="single" w:color="000000" w:sz="8" w:space="0"/>
              <w:bottom w:val="nil"/>
              <w:right w:val="single" w:color="000000" w:sz="8" w:space="0"/>
            </w:tcBorders>
          </w:tcPr>
          <w:p>
            <w:pPr>
              <w:spacing w:after="0"/>
            </w:pPr>
          </w:p>
        </w:tc>
        <w:tc>
          <w:tcPr>
            <w:tcW w:w="4766" w:type="dxa"/>
            <w:tcBorders>
              <w:top w:val="single" w:color="000000" w:sz="8" w:space="0"/>
              <w:left w:val="single" w:color="000000" w:sz="8" w:space="0"/>
              <w:bottom w:val="nil"/>
              <w:right w:val="single" w:color="000000" w:sz="8" w:space="0"/>
            </w:tcBorders>
          </w:tcPr>
          <w:p>
            <w:pPr>
              <w:spacing w:after="0"/>
            </w:pP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nil"/>
              <w:right w:val="single" w:color="000000" w:sz="8" w:space="0"/>
            </w:tcBorders>
          </w:tcPr>
          <w:p>
            <w:pPr>
              <w:spacing w:after="0"/>
            </w:pPr>
          </w:p>
        </w:tc>
      </w:tr>
      <w:tr>
        <w:tblPrEx>
          <w:tblCellMar>
            <w:top w:w="25" w:type="dxa"/>
            <w:left w:w="70" w:type="dxa"/>
            <w:bottom w:w="25" w:type="dxa"/>
            <w:right w:w="53" w:type="dxa"/>
          </w:tblCellMar>
        </w:tblPrEx>
        <w:trPr>
          <w:trHeight w:val="503" w:hRule="atLeast"/>
        </w:trPr>
        <w:tc>
          <w:tcPr>
            <w:tcW w:w="662" w:type="dxa"/>
            <w:tcBorders>
              <w:top w:val="nil"/>
              <w:left w:val="single" w:color="000000" w:sz="8" w:space="0"/>
              <w:bottom w:val="single" w:color="000000" w:sz="8" w:space="0"/>
              <w:right w:val="single" w:color="000000" w:sz="8" w:space="0"/>
            </w:tcBorders>
            <w:vAlign w:val="center"/>
          </w:tcPr>
          <w:p>
            <w:pPr>
              <w:spacing w:after="0"/>
              <w:ind w:left="1"/>
              <w:jc w:val="center"/>
            </w:pPr>
            <w:r>
              <w:rPr>
                <w:rFonts w:ascii="宋体" w:hAnsi="宋体" w:eastAsia="宋体" w:cs="宋体"/>
                <w:sz w:val="16"/>
              </w:rPr>
              <w:t>83</w:t>
            </w:r>
          </w:p>
        </w:tc>
        <w:tc>
          <w:tcPr>
            <w:tcW w:w="7687" w:type="dxa"/>
            <w:tcBorders>
              <w:top w:val="nil"/>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擅自采用没有工程建设标准又未经核准的新技术、新材料的处罚</w:t>
            </w:r>
          </w:p>
        </w:tc>
        <w:tc>
          <w:tcPr>
            <w:tcW w:w="4766" w:type="dxa"/>
            <w:tcBorders>
              <w:top w:val="nil"/>
              <w:left w:val="single" w:color="000000" w:sz="8" w:space="0"/>
              <w:bottom w:val="single" w:color="000000" w:sz="8" w:space="0"/>
              <w:right w:val="single" w:color="000000" w:sz="8" w:space="0"/>
            </w:tcBorders>
          </w:tcPr>
          <w:p>
            <w:pPr>
              <w:spacing w:after="0"/>
              <w:ind w:left="149"/>
            </w:pPr>
            <w:r>
              <w:rPr>
                <w:rFonts w:ascii="宋体" w:hAnsi="宋体" w:eastAsia="宋体" w:cs="宋体"/>
                <w:sz w:val="16"/>
              </w:rPr>
              <w:t>《市政公用设施抗灾设防管理规定》（住房和城乡建设部令第</w:t>
            </w:r>
          </w:p>
          <w:p>
            <w:pPr>
              <w:spacing w:after="0"/>
              <w:ind w:right="2"/>
              <w:jc w:val="center"/>
            </w:pPr>
            <w:r>
              <w:rPr>
                <w:rFonts w:ascii="宋体" w:hAnsi="宋体" w:eastAsia="宋体" w:cs="宋体"/>
                <w:sz w:val="16"/>
              </w:rPr>
              <w:t>1号）</w:t>
            </w:r>
          </w:p>
        </w:tc>
        <w:tc>
          <w:tcPr>
            <w:tcW w:w="1565" w:type="dxa"/>
            <w:vMerge w:val="restart"/>
            <w:tcBorders>
              <w:top w:val="nil"/>
              <w:left w:val="single" w:color="000000" w:sz="8" w:space="0"/>
              <w:bottom w:val="single" w:color="000000" w:sz="8" w:space="0"/>
              <w:right w:val="single" w:color="000000" w:sz="8" w:space="0"/>
            </w:tcBorders>
          </w:tcPr>
          <w:p>
            <w:pPr>
              <w:spacing w:after="0"/>
            </w:pPr>
          </w:p>
        </w:tc>
        <w:tc>
          <w:tcPr>
            <w:tcW w:w="1094" w:type="dxa"/>
            <w:tcBorders>
              <w:top w:val="nil"/>
              <w:left w:val="single" w:color="000000" w:sz="8" w:space="0"/>
              <w:bottom w:val="single" w:color="000000" w:sz="8" w:space="0"/>
              <w:right w:val="single" w:color="000000" w:sz="8" w:space="0"/>
            </w:tcBorders>
          </w:tcPr>
          <w:p>
            <w:pPr>
              <w:spacing w:after="0"/>
            </w:pPr>
          </w:p>
        </w:tc>
      </w:tr>
      <w:tr>
        <w:tblPrEx>
          <w:tblCellMar>
            <w:top w:w="25" w:type="dxa"/>
            <w:left w:w="70" w:type="dxa"/>
            <w:bottom w:w="25" w:type="dxa"/>
            <w:right w:w="53"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
              <w:jc w:val="center"/>
            </w:pPr>
            <w:r>
              <w:rPr>
                <w:rFonts w:ascii="宋体" w:hAnsi="宋体" w:eastAsia="宋体" w:cs="宋体"/>
                <w:sz w:val="16"/>
              </w:rPr>
              <w:t>84</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擅自变动或者破坏市政公用设施的防灾设施、抗震抗风构件、隔震或者振动控制装置、安全监测系统、健康监测系统、应急自动处置系统以及地震反应观测系统等设施的处罚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1"/>
              <w:jc w:val="center"/>
            </w:pPr>
            <w:r>
              <w:rPr>
                <w:rFonts w:ascii="宋体" w:hAnsi="宋体" w:eastAsia="宋体" w:cs="宋体"/>
                <w:sz w:val="16"/>
              </w:rPr>
              <w:t>《市政公用设施抗灾设防管理规定》</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5" w:type="dxa"/>
            <w:left w:w="70" w:type="dxa"/>
            <w:bottom w:w="25" w:type="dxa"/>
            <w:right w:w="53"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
              <w:jc w:val="center"/>
            </w:pPr>
            <w:r>
              <w:rPr>
                <w:rFonts w:ascii="宋体" w:hAnsi="宋体" w:eastAsia="宋体" w:cs="宋体"/>
                <w:sz w:val="16"/>
              </w:rPr>
              <w:t>85</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right="2"/>
              <w:jc w:val="center"/>
            </w:pPr>
            <w:r>
              <w:rPr>
                <w:rFonts w:ascii="宋体" w:hAnsi="宋体" w:eastAsia="宋体" w:cs="宋体"/>
                <w:sz w:val="16"/>
              </w:rPr>
              <w:t>未对经鉴定不符合抗震要求的市政公用设施进行改造、改建或者抗震加固，又未限制使用的处罚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149"/>
            </w:pPr>
            <w:r>
              <w:rPr>
                <w:rFonts w:ascii="宋体" w:hAnsi="宋体" w:eastAsia="宋体" w:cs="宋体"/>
                <w:sz w:val="16"/>
              </w:rPr>
              <w:t>《市政公用设施抗灾设防管理规定》（住房和城乡建设部令第</w:t>
            </w:r>
          </w:p>
          <w:p>
            <w:pPr>
              <w:spacing w:after="0"/>
              <w:ind w:right="2"/>
              <w:jc w:val="center"/>
            </w:pPr>
            <w:r>
              <w:rPr>
                <w:rFonts w:ascii="宋体" w:hAnsi="宋体" w:eastAsia="宋体" w:cs="宋体"/>
                <w:sz w:val="16"/>
              </w:rPr>
              <w:t>1号）</w:t>
            </w:r>
          </w:p>
        </w:tc>
        <w:tc>
          <w:tcPr>
            <w:tcW w:w="0" w:type="auto"/>
            <w:vMerge w:val="continue"/>
            <w:tcBorders>
              <w:top w:val="nil"/>
              <w:left w:val="single" w:color="000000" w:sz="8" w:space="0"/>
              <w:bottom w:val="single" w:color="000000" w:sz="8" w:space="0"/>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5" w:type="dxa"/>
            <w:left w:w="70" w:type="dxa"/>
            <w:bottom w:w="25" w:type="dxa"/>
            <w:right w:w="53"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
              <w:jc w:val="center"/>
            </w:pPr>
            <w:r>
              <w:rPr>
                <w:rFonts w:ascii="宋体" w:hAnsi="宋体" w:eastAsia="宋体" w:cs="宋体"/>
                <w:sz w:val="16"/>
              </w:rPr>
              <w:t>86</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未经注册擅自以注册建筑师名义从事注册建筑师业务的处罚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1"/>
              <w:jc w:val="center"/>
            </w:pPr>
            <w:r>
              <w:rPr>
                <w:rFonts w:ascii="宋体" w:hAnsi="宋体" w:eastAsia="宋体" w:cs="宋体"/>
                <w:sz w:val="16"/>
              </w:rPr>
              <w:t>《中华人民共和国注册建筑师条例》</w:t>
            </w:r>
          </w:p>
        </w:tc>
        <w:tc>
          <w:tcPr>
            <w:tcW w:w="1565" w:type="dxa"/>
            <w:vMerge w:val="restart"/>
            <w:tcBorders>
              <w:top w:val="single" w:color="000000" w:sz="8" w:space="0"/>
              <w:left w:val="single" w:color="000000" w:sz="8" w:space="0"/>
              <w:bottom w:val="single" w:color="000000" w:sz="8" w:space="0"/>
              <w:right w:val="single" w:color="000000" w:sz="8" w:space="0"/>
            </w:tcBorders>
            <w:vAlign w:val="center"/>
          </w:tcPr>
          <w:p>
            <w:pPr>
              <w:spacing w:after="0"/>
              <w:ind w:left="76"/>
              <w:jc w:val="both"/>
            </w:pPr>
            <w:r>
              <w:rPr>
                <w:rFonts w:ascii="宋体" w:hAnsi="宋体" w:eastAsia="宋体" w:cs="宋体"/>
                <w:sz w:val="16"/>
              </w:rPr>
              <w:t>城市与建筑设计科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5" w:type="dxa"/>
            <w:left w:w="70" w:type="dxa"/>
            <w:bottom w:w="25" w:type="dxa"/>
            <w:right w:w="53" w:type="dxa"/>
          </w:tblCellMar>
        </w:tblPrEx>
        <w:trPr>
          <w:trHeight w:val="754"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
              <w:jc w:val="center"/>
            </w:pPr>
            <w:r>
              <w:rPr>
                <w:rFonts w:ascii="宋体" w:hAnsi="宋体" w:eastAsia="宋体" w:cs="宋体"/>
                <w:sz w:val="16"/>
              </w:rPr>
              <w:t>87</w:t>
            </w:r>
          </w:p>
        </w:tc>
        <w:tc>
          <w:tcPr>
            <w:tcW w:w="7687" w:type="dxa"/>
            <w:tcBorders>
              <w:top w:val="single" w:color="000000" w:sz="8" w:space="0"/>
              <w:left w:val="single" w:color="000000" w:sz="8" w:space="0"/>
              <w:bottom w:val="single" w:color="000000" w:sz="8" w:space="0"/>
              <w:right w:val="single" w:color="000000" w:sz="8" w:space="0"/>
            </w:tcBorders>
          </w:tcPr>
          <w:p>
            <w:pPr>
              <w:spacing w:after="0"/>
              <w:jc w:val="center"/>
            </w:pPr>
            <w:r>
              <w:rPr>
                <w:rFonts w:ascii="宋体" w:hAnsi="宋体" w:eastAsia="宋体" w:cs="宋体"/>
                <w:sz w:val="16"/>
              </w:rPr>
              <w:t>注册建筑师以个人名义承接注册建筑师业务、收取费用；同时受聘于二个以上建筑设计单位执行业务；在建筑设计或者相关业务中侵犯他人合法权益；准许他人以本人名义执行业务；二级注册建筑师以一级注册建筑师的名义执行业务或者超越国家规定的执业范围执行业务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1"/>
              <w:jc w:val="center"/>
            </w:pPr>
            <w:r>
              <w:rPr>
                <w:rFonts w:ascii="宋体" w:hAnsi="宋体" w:eastAsia="宋体" w:cs="宋体"/>
                <w:sz w:val="16"/>
              </w:rPr>
              <w:t>《中华人民共和国注册建筑师条例》</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5" w:type="dxa"/>
            <w:left w:w="70" w:type="dxa"/>
            <w:bottom w:w="25" w:type="dxa"/>
            <w:right w:w="53"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
              <w:jc w:val="center"/>
            </w:pPr>
            <w:r>
              <w:rPr>
                <w:rFonts w:ascii="宋体" w:hAnsi="宋体" w:eastAsia="宋体" w:cs="宋体"/>
                <w:sz w:val="16"/>
              </w:rPr>
              <w:t>88</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right="1"/>
              <w:jc w:val="center"/>
            </w:pPr>
            <w:r>
              <w:rPr>
                <w:rFonts w:ascii="宋体" w:hAnsi="宋体" w:eastAsia="宋体" w:cs="宋体"/>
                <w:sz w:val="16"/>
              </w:rPr>
              <w:t>以欺骗、贿赂等不正当手段取得建筑师注册证书和执业印章的处罚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1"/>
              <w:jc w:val="center"/>
            </w:pPr>
            <w:r>
              <w:rPr>
                <w:rFonts w:ascii="宋体" w:hAnsi="宋体" w:eastAsia="宋体" w:cs="宋体"/>
                <w:sz w:val="16"/>
              </w:rPr>
              <w:t>《中华人民共和国注册建筑师条例实施细则》</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5" w:type="dxa"/>
            <w:left w:w="70" w:type="dxa"/>
            <w:bottom w:w="25" w:type="dxa"/>
            <w:right w:w="53"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
              <w:jc w:val="center"/>
            </w:pPr>
            <w:r>
              <w:rPr>
                <w:rFonts w:ascii="宋体" w:hAnsi="宋体" w:eastAsia="宋体" w:cs="宋体"/>
                <w:sz w:val="16"/>
              </w:rPr>
              <w:t>89</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161"/>
            </w:pPr>
            <w:r>
              <w:rPr>
                <w:rFonts w:ascii="宋体" w:hAnsi="宋体" w:eastAsia="宋体" w:cs="宋体"/>
                <w:sz w:val="16"/>
              </w:rPr>
              <w:t>未受聘并注册于中华人民共和国境内一个具有工程设计资质的单位，从事建筑工程设计执业活动的处罚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1"/>
              <w:jc w:val="center"/>
            </w:pPr>
            <w:r>
              <w:rPr>
                <w:rFonts w:ascii="宋体" w:hAnsi="宋体" w:eastAsia="宋体" w:cs="宋体"/>
                <w:sz w:val="16"/>
              </w:rPr>
              <w:t>《中华人民共和国注册建筑师条例实施细则》</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5" w:type="dxa"/>
            <w:left w:w="70" w:type="dxa"/>
            <w:bottom w:w="25" w:type="dxa"/>
            <w:right w:w="53"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
              <w:jc w:val="center"/>
            </w:pPr>
            <w:r>
              <w:rPr>
                <w:rFonts w:ascii="宋体" w:hAnsi="宋体" w:eastAsia="宋体" w:cs="宋体"/>
                <w:sz w:val="16"/>
              </w:rPr>
              <w:t>90</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right="2"/>
              <w:jc w:val="center"/>
            </w:pPr>
            <w:r>
              <w:rPr>
                <w:rFonts w:ascii="宋体" w:hAnsi="宋体" w:eastAsia="宋体" w:cs="宋体"/>
                <w:sz w:val="16"/>
              </w:rPr>
              <w:t>注册建筑师未办理变更注册而继续执业的处罚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1"/>
              <w:jc w:val="center"/>
            </w:pPr>
            <w:r>
              <w:rPr>
                <w:rFonts w:ascii="宋体" w:hAnsi="宋体" w:eastAsia="宋体" w:cs="宋体"/>
                <w:sz w:val="16"/>
              </w:rPr>
              <w:t>《中华人民共和国注册建筑师条例实施细则》</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5" w:type="dxa"/>
            <w:left w:w="70" w:type="dxa"/>
            <w:bottom w:w="25" w:type="dxa"/>
            <w:right w:w="53"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
              <w:jc w:val="center"/>
            </w:pPr>
            <w:r>
              <w:rPr>
                <w:rFonts w:ascii="宋体" w:hAnsi="宋体" w:eastAsia="宋体" w:cs="宋体"/>
                <w:sz w:val="16"/>
              </w:rPr>
              <w:t>91</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注册建筑师涂改、倒卖、出租、出借或者以其他形式非法转让执业资格证书、互认资格证书、注册证书和执业印章的处罚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1"/>
              <w:jc w:val="center"/>
            </w:pPr>
            <w:r>
              <w:rPr>
                <w:rFonts w:ascii="宋体" w:hAnsi="宋体" w:eastAsia="宋体" w:cs="宋体"/>
                <w:sz w:val="16"/>
              </w:rPr>
              <w:t>《中华人民共和国注册建筑师条例实施细则》</w:t>
            </w:r>
          </w:p>
        </w:tc>
        <w:tc>
          <w:tcPr>
            <w:tcW w:w="0" w:type="auto"/>
            <w:vMerge w:val="continue"/>
            <w:tcBorders>
              <w:top w:val="nil"/>
              <w:left w:val="single" w:color="000000" w:sz="8" w:space="0"/>
              <w:bottom w:val="single" w:color="000000" w:sz="8" w:space="0"/>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bl>
    <w:p>
      <w:pPr>
        <w:spacing w:after="0"/>
        <w:ind w:left="-1440" w:right="15394"/>
      </w:pPr>
    </w:p>
    <w:tbl>
      <w:tblPr>
        <w:tblStyle w:val="7"/>
        <w:tblW w:w="15775" w:type="dxa"/>
        <w:tblInd w:w="-1080" w:type="dxa"/>
        <w:tblLayout w:type="autofit"/>
        <w:tblCellMar>
          <w:top w:w="25" w:type="dxa"/>
          <w:left w:w="29" w:type="dxa"/>
          <w:bottom w:w="25" w:type="dxa"/>
          <w:right w:w="53" w:type="dxa"/>
        </w:tblCellMar>
      </w:tblPr>
      <w:tblGrid>
        <w:gridCol w:w="662"/>
        <w:gridCol w:w="7687"/>
        <w:gridCol w:w="4766"/>
        <w:gridCol w:w="1565"/>
        <w:gridCol w:w="1095"/>
      </w:tblGrid>
      <w:tr>
        <w:tblPrEx>
          <w:tblCellMar>
            <w:top w:w="25" w:type="dxa"/>
            <w:left w:w="29" w:type="dxa"/>
            <w:bottom w:w="25" w:type="dxa"/>
            <w:right w:w="53" w:type="dxa"/>
          </w:tblCellMar>
        </w:tblPrEx>
        <w:trPr>
          <w:trHeight w:val="542"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49"/>
            </w:pPr>
            <w:r>
              <w:rPr>
                <w:rFonts w:ascii="黑体" w:hAnsi="黑体" w:eastAsia="黑体" w:cs="黑体"/>
                <w:sz w:val="16"/>
              </w:rPr>
              <w:t>序号</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7"/>
              <w:jc w:val="center"/>
            </w:pPr>
            <w:r>
              <w:rPr>
                <w:rFonts w:ascii="黑体" w:hAnsi="黑体" w:eastAsia="黑体" w:cs="黑体"/>
                <w:sz w:val="16"/>
              </w:rPr>
              <w:t>违法行为</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9"/>
              <w:jc w:val="center"/>
            </w:pPr>
            <w:r>
              <w:rPr>
                <w:rFonts w:ascii="黑体" w:hAnsi="黑体" w:eastAsia="黑体" w:cs="黑体"/>
                <w:sz w:val="16"/>
              </w:rPr>
              <w:t>行政处罚实施依据</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40"/>
              <w:jc w:val="center"/>
            </w:pPr>
            <w:r>
              <w:rPr>
                <w:rFonts w:ascii="黑体" w:hAnsi="黑体" w:eastAsia="黑体" w:cs="黑体"/>
                <w:sz w:val="16"/>
              </w:rPr>
              <w:t>责任科室</w:t>
            </w:r>
          </w:p>
        </w:tc>
        <w:tc>
          <w:tcPr>
            <w:tcW w:w="1094" w:type="dxa"/>
            <w:tcBorders>
              <w:top w:val="single" w:color="000000" w:sz="8" w:space="0"/>
              <w:left w:val="single" w:color="000000" w:sz="8" w:space="0"/>
              <w:bottom w:val="single" w:color="000000" w:sz="8" w:space="0"/>
              <w:right w:val="single" w:color="000000" w:sz="8" w:space="0"/>
            </w:tcBorders>
            <w:vAlign w:val="center"/>
          </w:tcPr>
          <w:p>
            <w:pPr>
              <w:spacing w:after="0"/>
              <w:ind w:left="39"/>
              <w:jc w:val="center"/>
            </w:pPr>
            <w:r>
              <w:rPr>
                <w:rFonts w:ascii="黑体" w:hAnsi="黑体" w:eastAsia="黑体" w:cs="黑体"/>
                <w:sz w:val="16"/>
              </w:rPr>
              <w:t>备注</w:t>
            </w:r>
          </w:p>
        </w:tc>
      </w:tr>
      <w:tr>
        <w:tblPrEx>
          <w:tblCellMar>
            <w:top w:w="25" w:type="dxa"/>
            <w:left w:w="29" w:type="dxa"/>
            <w:bottom w:w="25" w:type="dxa"/>
            <w:right w:w="53"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2"/>
              <w:jc w:val="center"/>
            </w:pPr>
            <w:r>
              <w:rPr>
                <w:rFonts w:ascii="宋体" w:hAnsi="宋体" w:eastAsia="宋体" w:cs="宋体"/>
                <w:sz w:val="16"/>
              </w:rPr>
              <w:t>92</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40"/>
              <w:jc w:val="center"/>
            </w:pPr>
            <w:r>
              <w:rPr>
                <w:rFonts w:ascii="宋体" w:hAnsi="宋体" w:eastAsia="宋体" w:cs="宋体"/>
                <w:sz w:val="16"/>
              </w:rPr>
              <w:t>注册建筑师或者其聘用单位未按照要求提供注册建筑师信用档案信息的处罚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40"/>
              <w:jc w:val="center"/>
            </w:pPr>
            <w:r>
              <w:rPr>
                <w:rFonts w:ascii="宋体" w:hAnsi="宋体" w:eastAsia="宋体" w:cs="宋体"/>
                <w:sz w:val="16"/>
              </w:rPr>
              <w:t>《中华人民共和国注册建筑师条例实施细则》</w:t>
            </w:r>
          </w:p>
        </w:tc>
        <w:tc>
          <w:tcPr>
            <w:tcW w:w="1565" w:type="dxa"/>
            <w:vMerge w:val="restart"/>
            <w:tcBorders>
              <w:top w:val="single" w:color="000000" w:sz="8" w:space="0"/>
              <w:left w:val="single" w:color="000000" w:sz="8" w:space="0"/>
              <w:bottom w:val="nil"/>
              <w:right w:val="single" w:color="000000" w:sz="8" w:space="0"/>
            </w:tcBorders>
            <w:vAlign w:val="bottom"/>
          </w:tcPr>
          <w:p>
            <w:pPr>
              <w:spacing w:after="0"/>
              <w:ind w:left="117"/>
              <w:jc w:val="both"/>
            </w:pPr>
            <w:r>
              <w:rPr>
                <w:rFonts w:ascii="宋体" w:hAnsi="宋体" w:eastAsia="宋体" w:cs="宋体"/>
                <w:sz w:val="16"/>
              </w:rPr>
              <w:t>城市与建筑设计科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5" w:type="dxa"/>
            <w:left w:w="29" w:type="dxa"/>
            <w:bottom w:w="25" w:type="dxa"/>
            <w:right w:w="53" w:type="dxa"/>
          </w:tblCellMar>
        </w:tblPrEx>
        <w:trPr>
          <w:trHeight w:val="166" w:hRule="atLeast"/>
        </w:trPr>
        <w:tc>
          <w:tcPr>
            <w:tcW w:w="662" w:type="dxa"/>
            <w:tcBorders>
              <w:top w:val="single" w:color="000000" w:sz="8" w:space="0"/>
              <w:left w:val="single" w:color="000000" w:sz="8" w:space="0"/>
              <w:bottom w:val="nil"/>
              <w:right w:val="single" w:color="000000" w:sz="8" w:space="0"/>
            </w:tcBorders>
          </w:tcPr>
          <w:p>
            <w:pPr>
              <w:spacing w:after="0"/>
            </w:pPr>
          </w:p>
        </w:tc>
        <w:tc>
          <w:tcPr>
            <w:tcW w:w="7687" w:type="dxa"/>
            <w:tcBorders>
              <w:top w:val="single" w:color="000000" w:sz="8" w:space="0"/>
              <w:left w:val="single" w:color="000000" w:sz="8" w:space="0"/>
              <w:bottom w:val="nil"/>
              <w:right w:val="single" w:color="000000" w:sz="8" w:space="0"/>
            </w:tcBorders>
          </w:tcPr>
          <w:p>
            <w:pPr>
              <w:spacing w:after="0"/>
            </w:pPr>
          </w:p>
        </w:tc>
        <w:tc>
          <w:tcPr>
            <w:tcW w:w="4766" w:type="dxa"/>
            <w:tcBorders>
              <w:top w:val="single" w:color="000000" w:sz="8" w:space="0"/>
              <w:left w:val="single" w:color="000000" w:sz="8" w:space="0"/>
              <w:bottom w:val="nil"/>
              <w:right w:val="single" w:color="000000" w:sz="8" w:space="0"/>
            </w:tcBorders>
          </w:tcPr>
          <w:p>
            <w:pPr>
              <w:spacing w:after="0"/>
            </w:pP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nil"/>
              <w:right w:val="single" w:color="000000" w:sz="8" w:space="0"/>
            </w:tcBorders>
          </w:tcPr>
          <w:p>
            <w:pPr>
              <w:spacing w:after="0"/>
            </w:pPr>
          </w:p>
        </w:tc>
      </w:tr>
      <w:tr>
        <w:tblPrEx>
          <w:tblCellMar>
            <w:top w:w="25" w:type="dxa"/>
            <w:left w:w="29" w:type="dxa"/>
            <w:bottom w:w="25" w:type="dxa"/>
            <w:right w:w="53" w:type="dxa"/>
          </w:tblCellMar>
        </w:tblPrEx>
        <w:trPr>
          <w:trHeight w:val="453" w:hRule="atLeast"/>
        </w:trPr>
        <w:tc>
          <w:tcPr>
            <w:tcW w:w="662" w:type="dxa"/>
            <w:tcBorders>
              <w:top w:val="nil"/>
              <w:left w:val="single" w:color="000000" w:sz="8" w:space="0"/>
              <w:bottom w:val="single" w:color="000000" w:sz="8" w:space="0"/>
              <w:right w:val="single" w:color="000000" w:sz="8" w:space="0"/>
            </w:tcBorders>
          </w:tcPr>
          <w:p>
            <w:pPr>
              <w:spacing w:after="0"/>
              <w:ind w:left="42"/>
              <w:jc w:val="center"/>
            </w:pPr>
            <w:r>
              <w:rPr>
                <w:rFonts w:ascii="宋体" w:hAnsi="宋体" w:eastAsia="宋体" w:cs="宋体"/>
                <w:sz w:val="16"/>
              </w:rPr>
              <w:t>93</w:t>
            </w:r>
          </w:p>
        </w:tc>
        <w:tc>
          <w:tcPr>
            <w:tcW w:w="7687" w:type="dxa"/>
            <w:tcBorders>
              <w:top w:val="nil"/>
              <w:left w:val="single" w:color="000000" w:sz="8" w:space="0"/>
              <w:bottom w:val="single" w:color="000000" w:sz="8" w:space="0"/>
              <w:right w:val="single" w:color="000000" w:sz="8" w:space="0"/>
            </w:tcBorders>
          </w:tcPr>
          <w:p>
            <w:pPr>
              <w:spacing w:after="0"/>
              <w:ind w:left="39"/>
              <w:jc w:val="center"/>
            </w:pPr>
            <w:r>
              <w:rPr>
                <w:rFonts w:ascii="宋体" w:hAnsi="宋体" w:eastAsia="宋体" w:cs="宋体"/>
                <w:sz w:val="16"/>
              </w:rPr>
              <w:t>注册建筑师聘用单位为申请人提供虚假注册材料的处罚</w:t>
            </w:r>
          </w:p>
        </w:tc>
        <w:tc>
          <w:tcPr>
            <w:tcW w:w="4766" w:type="dxa"/>
            <w:tcBorders>
              <w:top w:val="nil"/>
              <w:left w:val="single" w:color="000000" w:sz="8" w:space="0"/>
              <w:bottom w:val="single" w:color="000000" w:sz="8" w:space="0"/>
              <w:right w:val="single" w:color="000000" w:sz="8" w:space="0"/>
            </w:tcBorders>
          </w:tcPr>
          <w:p>
            <w:pPr>
              <w:spacing w:after="0"/>
              <w:ind w:left="40"/>
              <w:jc w:val="center"/>
            </w:pPr>
            <w:r>
              <w:rPr>
                <w:rFonts w:ascii="宋体" w:hAnsi="宋体" w:eastAsia="宋体" w:cs="宋体"/>
                <w:sz w:val="16"/>
              </w:rPr>
              <w:t>《中华人民共和国注册建筑师条例实施细则》</w:t>
            </w:r>
          </w:p>
        </w:tc>
        <w:tc>
          <w:tcPr>
            <w:tcW w:w="1565" w:type="dxa"/>
            <w:tcBorders>
              <w:top w:val="nil"/>
              <w:left w:val="single" w:color="000000" w:sz="8" w:space="0"/>
              <w:bottom w:val="single" w:color="000000" w:sz="8" w:space="0"/>
              <w:right w:val="single" w:color="000000" w:sz="8" w:space="0"/>
            </w:tcBorders>
          </w:tcPr>
          <w:p>
            <w:pPr>
              <w:spacing w:after="0"/>
            </w:pPr>
          </w:p>
        </w:tc>
        <w:tc>
          <w:tcPr>
            <w:tcW w:w="1094" w:type="dxa"/>
            <w:tcBorders>
              <w:top w:val="nil"/>
              <w:left w:val="single" w:color="000000" w:sz="8" w:space="0"/>
              <w:bottom w:val="single" w:color="000000" w:sz="8" w:space="0"/>
              <w:right w:val="single" w:color="000000" w:sz="8" w:space="0"/>
            </w:tcBorders>
          </w:tcPr>
          <w:p>
            <w:pPr>
              <w:spacing w:after="0"/>
            </w:pPr>
          </w:p>
        </w:tc>
      </w:tr>
      <w:tr>
        <w:tblPrEx>
          <w:tblCellMar>
            <w:top w:w="25" w:type="dxa"/>
            <w:left w:w="29" w:type="dxa"/>
            <w:bottom w:w="25" w:type="dxa"/>
            <w:right w:w="53"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2"/>
              <w:jc w:val="center"/>
            </w:pPr>
            <w:r>
              <w:rPr>
                <w:rFonts w:ascii="宋体" w:hAnsi="宋体" w:eastAsia="宋体" w:cs="宋体"/>
                <w:sz w:val="16"/>
              </w:rPr>
              <w:t>94</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8"/>
              <w:jc w:val="center"/>
            </w:pPr>
            <w:r>
              <w:rPr>
                <w:rFonts w:ascii="宋体" w:hAnsi="宋体" w:eastAsia="宋体" w:cs="宋体"/>
                <w:sz w:val="16"/>
              </w:rPr>
              <w:t>从事建设工程勘察、工程设计活动的企业不及时办理资质证书变更手续的处罚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40"/>
              <w:jc w:val="center"/>
            </w:pPr>
            <w:r>
              <w:rPr>
                <w:rFonts w:ascii="宋体" w:hAnsi="宋体" w:eastAsia="宋体" w:cs="宋体"/>
                <w:sz w:val="16"/>
              </w:rPr>
              <w:t>《建设工程勘察设计资质管理规定》</w:t>
            </w:r>
          </w:p>
        </w:tc>
        <w:tc>
          <w:tcPr>
            <w:tcW w:w="1565" w:type="dxa"/>
            <w:vMerge w:val="restart"/>
            <w:tcBorders>
              <w:top w:val="single" w:color="000000" w:sz="8" w:space="0"/>
              <w:left w:val="single" w:color="000000" w:sz="8" w:space="0"/>
              <w:bottom w:val="single" w:color="000000" w:sz="8" w:space="0"/>
              <w:right w:val="single" w:color="000000" w:sz="8" w:space="0"/>
            </w:tcBorders>
            <w:vAlign w:val="center"/>
          </w:tcPr>
          <w:p>
            <w:pPr>
              <w:spacing w:after="0"/>
              <w:ind w:left="117"/>
              <w:jc w:val="both"/>
            </w:pPr>
            <w:r>
              <w:rPr>
                <w:rFonts w:ascii="宋体" w:hAnsi="宋体" w:eastAsia="宋体" w:cs="宋体"/>
                <w:sz w:val="16"/>
              </w:rPr>
              <w:t>城市与建筑设计科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5" w:type="dxa"/>
            <w:left w:w="29" w:type="dxa"/>
            <w:bottom w:w="25" w:type="dxa"/>
            <w:right w:w="53"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2"/>
              <w:jc w:val="center"/>
            </w:pPr>
            <w:r>
              <w:rPr>
                <w:rFonts w:ascii="宋体" w:hAnsi="宋体" w:eastAsia="宋体" w:cs="宋体"/>
                <w:sz w:val="16"/>
              </w:rPr>
              <w:t>95</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8"/>
              <w:jc w:val="center"/>
            </w:pPr>
            <w:r>
              <w:rPr>
                <w:rFonts w:ascii="宋体" w:hAnsi="宋体" w:eastAsia="宋体" w:cs="宋体"/>
                <w:sz w:val="16"/>
              </w:rPr>
              <w:t>从事建设工程勘察、工程设计活动的企业未按照规定提供信用档案信息的处罚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40"/>
              <w:jc w:val="center"/>
            </w:pPr>
            <w:r>
              <w:rPr>
                <w:rFonts w:ascii="宋体" w:hAnsi="宋体" w:eastAsia="宋体" w:cs="宋体"/>
                <w:sz w:val="16"/>
              </w:rPr>
              <w:t>《建设工程勘察设计资质管理规定》</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5" w:type="dxa"/>
            <w:left w:w="29" w:type="dxa"/>
            <w:bottom w:w="25" w:type="dxa"/>
            <w:right w:w="53"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2"/>
              <w:jc w:val="center"/>
            </w:pPr>
            <w:r>
              <w:rPr>
                <w:rFonts w:ascii="宋体" w:hAnsi="宋体" w:eastAsia="宋体" w:cs="宋体"/>
                <w:sz w:val="16"/>
              </w:rPr>
              <w:t>96</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41"/>
              <w:jc w:val="both"/>
            </w:pPr>
            <w:r>
              <w:rPr>
                <w:rFonts w:ascii="宋体" w:hAnsi="宋体" w:eastAsia="宋体" w:cs="宋体"/>
                <w:sz w:val="16"/>
              </w:rPr>
              <w:t>从事建设工程勘察、工程设计活动的企业涂改、倒卖、出租、出借或者以其他形式非法转让资质证书的处罚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40"/>
              <w:jc w:val="center"/>
            </w:pPr>
            <w:r>
              <w:rPr>
                <w:rFonts w:ascii="宋体" w:hAnsi="宋体" w:eastAsia="宋体" w:cs="宋体"/>
                <w:sz w:val="16"/>
              </w:rPr>
              <w:t>《建设工程勘察设计资质管理规定》</w:t>
            </w:r>
          </w:p>
        </w:tc>
        <w:tc>
          <w:tcPr>
            <w:tcW w:w="0" w:type="auto"/>
            <w:vMerge w:val="continue"/>
            <w:tcBorders>
              <w:top w:val="nil"/>
              <w:left w:val="single" w:color="000000" w:sz="8" w:space="0"/>
              <w:bottom w:val="single" w:color="000000" w:sz="8" w:space="0"/>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5" w:type="dxa"/>
            <w:left w:w="29" w:type="dxa"/>
            <w:bottom w:w="25" w:type="dxa"/>
            <w:right w:w="53"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2"/>
              <w:jc w:val="center"/>
            </w:pPr>
            <w:r>
              <w:rPr>
                <w:rFonts w:ascii="宋体" w:hAnsi="宋体" w:eastAsia="宋体" w:cs="宋体"/>
                <w:sz w:val="16"/>
              </w:rPr>
              <w:t>97</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40"/>
              <w:jc w:val="center"/>
            </w:pPr>
            <w:r>
              <w:rPr>
                <w:rFonts w:ascii="宋体" w:hAnsi="宋体" w:eastAsia="宋体" w:cs="宋体"/>
                <w:sz w:val="16"/>
              </w:rPr>
              <w:t>以欺骗、贿赂等不正当手段取得勘察设计注册工程师注册证书的处罚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9"/>
              <w:jc w:val="center"/>
            </w:pPr>
            <w:r>
              <w:rPr>
                <w:rFonts w:ascii="宋体" w:hAnsi="宋体" w:eastAsia="宋体" w:cs="宋体"/>
                <w:sz w:val="16"/>
              </w:rPr>
              <w:t>《勘察设计注册工程师管理规定》（建设部令第137号）</w:t>
            </w:r>
          </w:p>
        </w:tc>
        <w:tc>
          <w:tcPr>
            <w:tcW w:w="1565" w:type="dxa"/>
            <w:vMerge w:val="restart"/>
            <w:tcBorders>
              <w:top w:val="single" w:color="000000" w:sz="8" w:space="0"/>
              <w:left w:val="single" w:color="000000" w:sz="8" w:space="0"/>
              <w:bottom w:val="single" w:color="000000" w:sz="8" w:space="0"/>
              <w:right w:val="single" w:color="000000" w:sz="8" w:space="0"/>
            </w:tcBorders>
            <w:vAlign w:val="center"/>
          </w:tcPr>
          <w:p>
            <w:pPr>
              <w:spacing w:after="0"/>
              <w:ind w:left="117"/>
              <w:jc w:val="both"/>
            </w:pPr>
            <w:r>
              <w:rPr>
                <w:rFonts w:ascii="宋体" w:hAnsi="宋体" w:eastAsia="宋体" w:cs="宋体"/>
                <w:sz w:val="16"/>
              </w:rPr>
              <w:t>城市与建筑设计科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5" w:type="dxa"/>
            <w:left w:w="29" w:type="dxa"/>
            <w:bottom w:w="25" w:type="dxa"/>
            <w:right w:w="53" w:type="dxa"/>
          </w:tblCellMar>
        </w:tblPrEx>
        <w:trPr>
          <w:trHeight w:val="871"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2"/>
              <w:jc w:val="center"/>
            </w:pPr>
            <w:r>
              <w:rPr>
                <w:rFonts w:ascii="宋体" w:hAnsi="宋体" w:eastAsia="宋体" w:cs="宋体"/>
                <w:sz w:val="16"/>
              </w:rPr>
              <w:t>98</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注册工程师以个人名义承接业务；涂改、出租、出借或者以形式非法转让注册证书或者执业印章；泄露执业中应当保守的秘密并造成严重后果；超出本专业规定范围或者聘用单位业务范围从事执业活动；弄虚作假提供执业活动成果；其它违反法律、法规、规章的行为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9"/>
              <w:jc w:val="center"/>
            </w:pPr>
            <w:r>
              <w:rPr>
                <w:rFonts w:ascii="宋体" w:hAnsi="宋体" w:eastAsia="宋体" w:cs="宋体"/>
                <w:sz w:val="16"/>
              </w:rPr>
              <w:t>《勘察设计注册工程师管理规定》（建设部令第137号）</w:t>
            </w:r>
          </w:p>
        </w:tc>
        <w:tc>
          <w:tcPr>
            <w:tcW w:w="0" w:type="auto"/>
            <w:vMerge w:val="continue"/>
            <w:tcBorders>
              <w:top w:val="nil"/>
              <w:left w:val="single" w:color="000000" w:sz="8" w:space="0"/>
              <w:bottom w:val="single" w:color="000000" w:sz="8" w:space="0"/>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5" w:type="dxa"/>
            <w:left w:w="29" w:type="dxa"/>
            <w:bottom w:w="25" w:type="dxa"/>
            <w:right w:w="53"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2"/>
              <w:jc w:val="center"/>
            </w:pPr>
            <w:r>
              <w:rPr>
                <w:rFonts w:ascii="宋体" w:hAnsi="宋体" w:eastAsia="宋体" w:cs="宋体"/>
                <w:sz w:val="16"/>
              </w:rPr>
              <w:t>99</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9"/>
              <w:jc w:val="center"/>
            </w:pPr>
            <w:r>
              <w:rPr>
                <w:rFonts w:ascii="宋体" w:hAnsi="宋体" w:eastAsia="宋体" w:cs="宋体"/>
                <w:sz w:val="16"/>
              </w:rPr>
              <w:t>工程造价咨询企业设立分支机构不备案；跨省、自治区、直辖市承接工程咨询业务不备案的处罚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9"/>
              <w:jc w:val="center"/>
            </w:pPr>
            <w:r>
              <w:rPr>
                <w:rFonts w:ascii="宋体" w:hAnsi="宋体" w:eastAsia="宋体" w:cs="宋体"/>
                <w:sz w:val="16"/>
              </w:rPr>
              <w:t>《工程造价咨询企业管理办法》</w:t>
            </w:r>
          </w:p>
        </w:tc>
        <w:tc>
          <w:tcPr>
            <w:tcW w:w="1565" w:type="dxa"/>
            <w:vMerge w:val="restart"/>
            <w:tcBorders>
              <w:top w:val="single" w:color="000000" w:sz="8" w:space="0"/>
              <w:left w:val="single" w:color="000000" w:sz="8" w:space="0"/>
              <w:bottom w:val="nil"/>
              <w:right w:val="single" w:color="000000" w:sz="8" w:space="0"/>
            </w:tcBorders>
            <w:vAlign w:val="bottom"/>
          </w:tcPr>
          <w:p>
            <w:pPr>
              <w:spacing w:after="0"/>
              <w:ind w:left="278"/>
            </w:pPr>
            <w:r>
              <w:rPr>
                <w:rFonts w:ascii="宋体" w:hAnsi="宋体" w:eastAsia="宋体" w:cs="宋体"/>
                <w:sz w:val="16"/>
              </w:rPr>
              <w:t>科技与标准科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5" w:type="dxa"/>
            <w:left w:w="29" w:type="dxa"/>
            <w:bottom w:w="25" w:type="dxa"/>
            <w:right w:w="53" w:type="dxa"/>
          </w:tblCellMar>
        </w:tblPrEx>
        <w:trPr>
          <w:trHeight w:val="115" w:hRule="atLeast"/>
        </w:trPr>
        <w:tc>
          <w:tcPr>
            <w:tcW w:w="662" w:type="dxa"/>
            <w:tcBorders>
              <w:top w:val="single" w:color="000000" w:sz="8" w:space="0"/>
              <w:left w:val="single" w:color="000000" w:sz="8" w:space="0"/>
              <w:bottom w:val="nil"/>
              <w:right w:val="single" w:color="000000" w:sz="8" w:space="0"/>
            </w:tcBorders>
          </w:tcPr>
          <w:p>
            <w:pPr>
              <w:spacing w:after="0"/>
            </w:pPr>
          </w:p>
        </w:tc>
        <w:tc>
          <w:tcPr>
            <w:tcW w:w="7687" w:type="dxa"/>
            <w:tcBorders>
              <w:top w:val="single" w:color="000000" w:sz="8" w:space="0"/>
              <w:left w:val="single" w:color="000000" w:sz="8" w:space="0"/>
              <w:bottom w:val="nil"/>
              <w:right w:val="single" w:color="000000" w:sz="8" w:space="0"/>
            </w:tcBorders>
          </w:tcPr>
          <w:p>
            <w:pPr>
              <w:spacing w:after="0"/>
            </w:pPr>
          </w:p>
        </w:tc>
        <w:tc>
          <w:tcPr>
            <w:tcW w:w="4766" w:type="dxa"/>
            <w:tcBorders>
              <w:top w:val="single" w:color="000000" w:sz="8" w:space="0"/>
              <w:left w:val="single" w:color="000000" w:sz="8" w:space="0"/>
              <w:bottom w:val="nil"/>
              <w:right w:val="single" w:color="000000" w:sz="8" w:space="0"/>
            </w:tcBorders>
          </w:tcPr>
          <w:p>
            <w:pPr>
              <w:spacing w:after="0"/>
            </w:pP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nil"/>
              <w:right w:val="single" w:color="000000" w:sz="8" w:space="0"/>
            </w:tcBorders>
          </w:tcPr>
          <w:p>
            <w:pPr>
              <w:spacing w:after="0"/>
            </w:pPr>
          </w:p>
        </w:tc>
      </w:tr>
      <w:tr>
        <w:tblPrEx>
          <w:tblCellMar>
            <w:top w:w="25" w:type="dxa"/>
            <w:left w:w="29" w:type="dxa"/>
            <w:bottom w:w="25" w:type="dxa"/>
            <w:right w:w="53" w:type="dxa"/>
          </w:tblCellMar>
        </w:tblPrEx>
        <w:trPr>
          <w:trHeight w:val="504" w:hRule="atLeast"/>
        </w:trPr>
        <w:tc>
          <w:tcPr>
            <w:tcW w:w="662" w:type="dxa"/>
            <w:tcBorders>
              <w:top w:val="nil"/>
              <w:left w:val="single" w:color="000000" w:sz="8" w:space="0"/>
              <w:bottom w:val="single" w:color="000000" w:sz="8" w:space="0"/>
              <w:right w:val="single" w:color="000000" w:sz="8" w:space="0"/>
            </w:tcBorders>
            <w:vAlign w:val="center"/>
          </w:tcPr>
          <w:p>
            <w:pPr>
              <w:spacing w:after="0"/>
              <w:ind w:left="42"/>
              <w:jc w:val="center"/>
            </w:pPr>
            <w:r>
              <w:rPr>
                <w:rFonts w:ascii="宋体" w:hAnsi="宋体" w:eastAsia="宋体" w:cs="宋体"/>
                <w:sz w:val="16"/>
              </w:rPr>
              <w:t>100</w:t>
            </w:r>
          </w:p>
        </w:tc>
        <w:tc>
          <w:tcPr>
            <w:tcW w:w="7687" w:type="dxa"/>
            <w:tcBorders>
              <w:top w:val="nil"/>
              <w:left w:val="single" w:color="000000" w:sz="8" w:space="0"/>
              <w:bottom w:val="single" w:color="000000" w:sz="8" w:space="0"/>
              <w:right w:val="single" w:color="000000" w:sz="8" w:space="0"/>
            </w:tcBorders>
          </w:tcPr>
          <w:p>
            <w:pPr>
              <w:spacing w:after="0"/>
            </w:pPr>
            <w:r>
              <w:rPr>
                <w:rFonts w:ascii="宋体" w:hAnsi="宋体" w:eastAsia="宋体" w:cs="宋体"/>
                <w:sz w:val="16"/>
              </w:rPr>
              <w:t>同时接受招标人和投标人或两个以上投标人对同一工程项目的工程造价咨询业务；以给予回扣、恶意压低收费等方式进行不正当竞争；转包承接的工程造价咨询业务；法律、法规禁止的其他行为的处罚</w:t>
            </w:r>
          </w:p>
        </w:tc>
        <w:tc>
          <w:tcPr>
            <w:tcW w:w="4766" w:type="dxa"/>
            <w:tcBorders>
              <w:top w:val="nil"/>
              <w:left w:val="single" w:color="000000" w:sz="8" w:space="0"/>
              <w:bottom w:val="single" w:color="000000" w:sz="8" w:space="0"/>
              <w:right w:val="single" w:color="000000" w:sz="8" w:space="0"/>
            </w:tcBorders>
            <w:vAlign w:val="center"/>
          </w:tcPr>
          <w:p>
            <w:pPr>
              <w:spacing w:after="0"/>
              <w:ind w:left="39"/>
              <w:jc w:val="center"/>
            </w:pPr>
            <w:r>
              <w:rPr>
                <w:rFonts w:ascii="宋体" w:hAnsi="宋体" w:eastAsia="宋体" w:cs="宋体"/>
                <w:sz w:val="16"/>
              </w:rPr>
              <w:t>《工程造价咨询企业管理办法》</w:t>
            </w:r>
          </w:p>
        </w:tc>
        <w:tc>
          <w:tcPr>
            <w:tcW w:w="1565" w:type="dxa"/>
            <w:tcBorders>
              <w:top w:val="nil"/>
              <w:left w:val="single" w:color="000000" w:sz="8" w:space="0"/>
              <w:bottom w:val="single" w:color="000000" w:sz="8" w:space="0"/>
              <w:right w:val="single" w:color="000000" w:sz="8" w:space="0"/>
            </w:tcBorders>
          </w:tcPr>
          <w:p>
            <w:pPr>
              <w:spacing w:after="0"/>
            </w:pPr>
          </w:p>
        </w:tc>
        <w:tc>
          <w:tcPr>
            <w:tcW w:w="1094" w:type="dxa"/>
            <w:tcBorders>
              <w:top w:val="nil"/>
              <w:left w:val="single" w:color="000000" w:sz="8" w:space="0"/>
              <w:bottom w:val="single" w:color="000000" w:sz="8" w:space="0"/>
              <w:right w:val="single" w:color="000000" w:sz="8" w:space="0"/>
            </w:tcBorders>
          </w:tcPr>
          <w:p>
            <w:pPr>
              <w:spacing w:after="0"/>
            </w:pPr>
          </w:p>
        </w:tc>
      </w:tr>
      <w:tr>
        <w:tblPrEx>
          <w:tblCellMar>
            <w:top w:w="25" w:type="dxa"/>
            <w:left w:w="29" w:type="dxa"/>
            <w:bottom w:w="25" w:type="dxa"/>
            <w:right w:w="53"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2"/>
              <w:jc w:val="center"/>
            </w:pPr>
            <w:r>
              <w:rPr>
                <w:rFonts w:ascii="宋体" w:hAnsi="宋体" w:eastAsia="宋体" w:cs="宋体"/>
                <w:sz w:val="16"/>
              </w:rPr>
              <w:t>101</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注册造价工程师聘用单位为申请人提供虚假注册材料的处罚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8"/>
              <w:jc w:val="center"/>
            </w:pPr>
            <w:r>
              <w:rPr>
                <w:rFonts w:ascii="宋体" w:hAnsi="宋体" w:eastAsia="宋体" w:cs="宋体"/>
                <w:sz w:val="16"/>
              </w:rPr>
              <w:t>《注册造价工程师管理办法》</w:t>
            </w:r>
          </w:p>
        </w:tc>
        <w:tc>
          <w:tcPr>
            <w:tcW w:w="1565" w:type="dxa"/>
            <w:vMerge w:val="restart"/>
            <w:tcBorders>
              <w:top w:val="single" w:color="000000" w:sz="8" w:space="0"/>
              <w:left w:val="single" w:color="000000" w:sz="8" w:space="0"/>
              <w:bottom w:val="single" w:color="000000" w:sz="8" w:space="0"/>
              <w:right w:val="single" w:color="000000" w:sz="8" w:space="0"/>
            </w:tcBorders>
            <w:vAlign w:val="center"/>
          </w:tcPr>
          <w:p>
            <w:pPr>
              <w:spacing w:after="0"/>
              <w:ind w:left="278"/>
            </w:pPr>
            <w:r>
              <w:rPr>
                <w:rFonts w:ascii="宋体" w:hAnsi="宋体" w:eastAsia="宋体" w:cs="宋体"/>
                <w:sz w:val="16"/>
              </w:rPr>
              <w:t>科技与标准科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5" w:type="dxa"/>
            <w:left w:w="29" w:type="dxa"/>
            <w:bottom w:w="25" w:type="dxa"/>
            <w:right w:w="53"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2"/>
              <w:jc w:val="center"/>
            </w:pPr>
            <w:r>
              <w:rPr>
                <w:rFonts w:ascii="宋体" w:hAnsi="宋体" w:eastAsia="宋体" w:cs="宋体"/>
                <w:sz w:val="16"/>
              </w:rPr>
              <w:t>102</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9"/>
              <w:jc w:val="center"/>
            </w:pPr>
            <w:r>
              <w:rPr>
                <w:rFonts w:ascii="宋体" w:hAnsi="宋体" w:eastAsia="宋体" w:cs="宋体"/>
                <w:sz w:val="16"/>
              </w:rPr>
              <w:t>以欺骗、贿赂等不正当手段取得造价工程师注册的处罚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8"/>
              <w:jc w:val="center"/>
            </w:pPr>
            <w:r>
              <w:rPr>
                <w:rFonts w:ascii="宋体" w:hAnsi="宋体" w:eastAsia="宋体" w:cs="宋体"/>
                <w:sz w:val="16"/>
              </w:rPr>
              <w:t>《注册造价工程师管理办法》</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5" w:type="dxa"/>
            <w:left w:w="29" w:type="dxa"/>
            <w:bottom w:w="25" w:type="dxa"/>
            <w:right w:w="53"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2"/>
              <w:jc w:val="center"/>
            </w:pPr>
            <w:r>
              <w:rPr>
                <w:rFonts w:ascii="宋体" w:hAnsi="宋体" w:eastAsia="宋体" w:cs="宋体"/>
                <w:sz w:val="16"/>
              </w:rPr>
              <w:t>103</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8"/>
              <w:jc w:val="center"/>
            </w:pPr>
            <w:r>
              <w:rPr>
                <w:rFonts w:ascii="宋体" w:hAnsi="宋体" w:eastAsia="宋体" w:cs="宋体"/>
                <w:sz w:val="16"/>
              </w:rPr>
              <w:t>未经注册而以注册造价工程师的名义从事工程造价活动的处罚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8"/>
              <w:jc w:val="center"/>
            </w:pPr>
            <w:r>
              <w:rPr>
                <w:rFonts w:ascii="宋体" w:hAnsi="宋体" w:eastAsia="宋体" w:cs="宋体"/>
                <w:sz w:val="16"/>
              </w:rPr>
              <w:t>《注册造价工程师管理办法》</w:t>
            </w:r>
          </w:p>
        </w:tc>
        <w:tc>
          <w:tcPr>
            <w:tcW w:w="0" w:type="auto"/>
            <w:vMerge w:val="continue"/>
            <w:tcBorders>
              <w:top w:val="nil"/>
              <w:left w:val="single" w:color="000000" w:sz="8" w:space="0"/>
              <w:bottom w:val="single" w:color="000000" w:sz="8" w:space="0"/>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5" w:type="dxa"/>
            <w:left w:w="29" w:type="dxa"/>
            <w:bottom w:w="25" w:type="dxa"/>
            <w:right w:w="53"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2"/>
              <w:jc w:val="center"/>
            </w:pPr>
            <w:r>
              <w:rPr>
                <w:rFonts w:ascii="宋体" w:hAnsi="宋体" w:eastAsia="宋体" w:cs="宋体"/>
                <w:sz w:val="16"/>
              </w:rPr>
              <w:t>104</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9"/>
              <w:jc w:val="center"/>
            </w:pPr>
            <w:r>
              <w:rPr>
                <w:rFonts w:ascii="宋体" w:hAnsi="宋体" w:eastAsia="宋体" w:cs="宋体"/>
                <w:sz w:val="16"/>
              </w:rPr>
              <w:t>注册造价工程师未办理变更注册而继续执业的处罚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8"/>
              <w:jc w:val="center"/>
            </w:pPr>
            <w:r>
              <w:rPr>
                <w:rFonts w:ascii="宋体" w:hAnsi="宋体" w:eastAsia="宋体" w:cs="宋体"/>
                <w:sz w:val="16"/>
              </w:rPr>
              <w:t>《注册造价工程师管理办法》</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278"/>
            </w:pPr>
            <w:r>
              <w:rPr>
                <w:rFonts w:ascii="宋体" w:hAnsi="宋体" w:eastAsia="宋体" w:cs="宋体"/>
                <w:sz w:val="16"/>
              </w:rPr>
              <w:t>科技与标准科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bl>
    <w:p>
      <w:pPr>
        <w:spacing w:after="0"/>
        <w:ind w:left="-1440" w:right="15394"/>
      </w:pPr>
    </w:p>
    <w:tbl>
      <w:tblPr>
        <w:tblStyle w:val="7"/>
        <w:tblW w:w="15775" w:type="dxa"/>
        <w:tblInd w:w="-1080" w:type="dxa"/>
        <w:tblLayout w:type="autofit"/>
        <w:tblCellMar>
          <w:top w:w="94" w:type="dxa"/>
          <w:left w:w="29" w:type="dxa"/>
          <w:bottom w:w="0" w:type="dxa"/>
          <w:right w:w="52" w:type="dxa"/>
        </w:tblCellMar>
      </w:tblPr>
      <w:tblGrid>
        <w:gridCol w:w="662"/>
        <w:gridCol w:w="7687"/>
        <w:gridCol w:w="4766"/>
        <w:gridCol w:w="1565"/>
        <w:gridCol w:w="1095"/>
      </w:tblGrid>
      <w:tr>
        <w:tblPrEx>
          <w:tblCellMar>
            <w:top w:w="94" w:type="dxa"/>
            <w:left w:w="29" w:type="dxa"/>
            <w:bottom w:w="0" w:type="dxa"/>
            <w:right w:w="52" w:type="dxa"/>
          </w:tblCellMar>
        </w:tblPrEx>
        <w:trPr>
          <w:trHeight w:val="542"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49"/>
            </w:pPr>
            <w:r>
              <w:rPr>
                <w:rFonts w:ascii="黑体" w:hAnsi="黑体" w:eastAsia="黑体" w:cs="黑体"/>
                <w:sz w:val="16"/>
              </w:rPr>
              <w:t>序号</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6"/>
              <w:jc w:val="center"/>
            </w:pPr>
            <w:r>
              <w:rPr>
                <w:rFonts w:ascii="黑体" w:hAnsi="黑体" w:eastAsia="黑体" w:cs="黑体"/>
                <w:sz w:val="16"/>
              </w:rPr>
              <w:t>违法行为</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8"/>
              <w:jc w:val="center"/>
            </w:pPr>
            <w:r>
              <w:rPr>
                <w:rFonts w:ascii="黑体" w:hAnsi="黑体" w:eastAsia="黑体" w:cs="黑体"/>
                <w:sz w:val="16"/>
              </w:rPr>
              <w:t>行政处罚实施依据</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39"/>
              <w:jc w:val="center"/>
            </w:pPr>
            <w:r>
              <w:rPr>
                <w:rFonts w:ascii="黑体" w:hAnsi="黑体" w:eastAsia="黑体" w:cs="黑体"/>
                <w:sz w:val="16"/>
              </w:rPr>
              <w:t>责任科室</w:t>
            </w:r>
          </w:p>
        </w:tc>
        <w:tc>
          <w:tcPr>
            <w:tcW w:w="1094" w:type="dxa"/>
            <w:tcBorders>
              <w:top w:val="single" w:color="000000" w:sz="8" w:space="0"/>
              <w:left w:val="single" w:color="000000" w:sz="8" w:space="0"/>
              <w:bottom w:val="single" w:color="000000" w:sz="8" w:space="0"/>
              <w:right w:val="single" w:color="000000" w:sz="8" w:space="0"/>
            </w:tcBorders>
            <w:vAlign w:val="center"/>
          </w:tcPr>
          <w:p>
            <w:pPr>
              <w:spacing w:after="0"/>
              <w:ind w:left="38"/>
              <w:jc w:val="center"/>
            </w:pPr>
            <w:r>
              <w:rPr>
                <w:rFonts w:ascii="黑体" w:hAnsi="黑体" w:eastAsia="黑体" w:cs="黑体"/>
                <w:sz w:val="16"/>
              </w:rPr>
              <w:t>备注</w:t>
            </w:r>
          </w:p>
        </w:tc>
      </w:tr>
      <w:tr>
        <w:tblPrEx>
          <w:tblCellMar>
            <w:top w:w="94" w:type="dxa"/>
            <w:left w:w="29" w:type="dxa"/>
            <w:bottom w:w="0" w:type="dxa"/>
            <w:right w:w="52" w:type="dxa"/>
          </w:tblCellMar>
        </w:tblPrEx>
        <w:trPr>
          <w:trHeight w:val="1066"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105</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2" w:line="231" w:lineRule="auto"/>
              <w:ind w:right="39"/>
              <w:jc w:val="both"/>
            </w:pPr>
            <w:r>
              <w:rPr>
                <w:rFonts w:ascii="宋体" w:hAnsi="宋体" w:eastAsia="宋体" w:cs="宋体"/>
                <w:sz w:val="16"/>
              </w:rPr>
              <w:t>注册造价工程师不履行注册造价工程师义务；在执业过程中，索贿、受贿或者谋取合同约定费用外的其他利益；在执业过程中实施商业贿赂；签署有虚假记载、误导性陈述的工程造价成果文件；以个人名义承接工程造价业务；允许他人以自己名义从事工程造价业务；同时在两个或者两个以上单位执业；涂改、倒卖、出租</w:t>
            </w:r>
          </w:p>
          <w:p>
            <w:pPr>
              <w:spacing w:after="0"/>
            </w:pPr>
            <w:r>
              <w:rPr>
                <w:rFonts w:ascii="宋体" w:hAnsi="宋体" w:eastAsia="宋体" w:cs="宋体"/>
                <w:sz w:val="16"/>
              </w:rPr>
              <w:t>、出借或者以其他形式非法转让注册证书或者执业印章；法律、法规、规章禁止的其他行为的处罚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7"/>
              <w:jc w:val="center"/>
            </w:pPr>
            <w:r>
              <w:rPr>
                <w:rFonts w:ascii="宋体" w:hAnsi="宋体" w:eastAsia="宋体" w:cs="宋体"/>
                <w:sz w:val="16"/>
              </w:rPr>
              <w:t>《注册造价工程师管理办法》</w:t>
            </w:r>
          </w:p>
        </w:tc>
        <w:tc>
          <w:tcPr>
            <w:tcW w:w="1565" w:type="dxa"/>
            <w:vMerge w:val="restart"/>
            <w:tcBorders>
              <w:top w:val="single" w:color="000000" w:sz="8" w:space="0"/>
              <w:left w:val="single" w:color="000000" w:sz="8" w:space="0"/>
              <w:bottom w:val="single" w:color="000000" w:sz="8" w:space="0"/>
              <w:right w:val="single" w:color="000000" w:sz="8" w:space="0"/>
            </w:tcBorders>
            <w:vAlign w:val="center"/>
          </w:tcPr>
          <w:p>
            <w:pPr>
              <w:spacing w:after="0"/>
              <w:ind w:left="278"/>
            </w:pPr>
            <w:r>
              <w:rPr>
                <w:rFonts w:ascii="宋体" w:hAnsi="宋体" w:eastAsia="宋体" w:cs="宋体"/>
                <w:sz w:val="16"/>
              </w:rPr>
              <w:t>科技与标准科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94" w:type="dxa"/>
            <w:left w:w="29" w:type="dxa"/>
            <w:bottom w:w="0" w:type="dxa"/>
            <w:right w:w="5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106</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9"/>
              <w:jc w:val="center"/>
            </w:pPr>
            <w:r>
              <w:rPr>
                <w:rFonts w:ascii="宋体" w:hAnsi="宋体" w:eastAsia="宋体" w:cs="宋体"/>
                <w:sz w:val="16"/>
              </w:rPr>
              <w:t>注册造价工程师或者其聘用单位未按照要求提供造价工程师信用档案信息的处罚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7"/>
              <w:jc w:val="center"/>
            </w:pPr>
            <w:r>
              <w:rPr>
                <w:rFonts w:ascii="宋体" w:hAnsi="宋体" w:eastAsia="宋体" w:cs="宋体"/>
                <w:sz w:val="16"/>
              </w:rPr>
              <w:t>《注册造价工程师管理办法》</w:t>
            </w:r>
          </w:p>
        </w:tc>
        <w:tc>
          <w:tcPr>
            <w:tcW w:w="0" w:type="auto"/>
            <w:vMerge w:val="continue"/>
            <w:tcBorders>
              <w:top w:val="nil"/>
              <w:left w:val="single" w:color="000000" w:sz="8" w:space="0"/>
              <w:bottom w:val="single" w:color="000000" w:sz="8" w:space="0"/>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94" w:type="dxa"/>
            <w:left w:w="29" w:type="dxa"/>
            <w:bottom w:w="0" w:type="dxa"/>
            <w:right w:w="5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107</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未取得注册证书和执业印章，担任大中型建设工程项目施工单位项目负责人，或者以注册建造师的名义从事相关活动的处罚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6"/>
              <w:jc w:val="center"/>
            </w:pPr>
            <w:r>
              <w:rPr>
                <w:rFonts w:ascii="宋体" w:hAnsi="宋体" w:eastAsia="宋体" w:cs="宋体"/>
                <w:sz w:val="16"/>
              </w:rPr>
              <w:t>《注册建造师管理规定》</w:t>
            </w:r>
          </w:p>
        </w:tc>
        <w:tc>
          <w:tcPr>
            <w:tcW w:w="1565" w:type="dxa"/>
            <w:vMerge w:val="restart"/>
            <w:tcBorders>
              <w:top w:val="single" w:color="000000" w:sz="8" w:space="0"/>
              <w:left w:val="single" w:color="000000" w:sz="8" w:space="0"/>
              <w:bottom w:val="single" w:color="000000" w:sz="8" w:space="0"/>
              <w:right w:val="single" w:color="000000" w:sz="8" w:space="0"/>
            </w:tcBorders>
            <w:vAlign w:val="center"/>
          </w:tcPr>
          <w:p>
            <w:pPr>
              <w:spacing w:after="0"/>
              <w:ind w:left="199"/>
            </w:pPr>
            <w:r>
              <w:rPr>
                <w:rFonts w:ascii="宋体" w:hAnsi="宋体" w:eastAsia="宋体" w:cs="宋体"/>
                <w:sz w:val="16"/>
              </w:rPr>
              <w:t>建筑市场管理科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94" w:type="dxa"/>
            <w:left w:w="29" w:type="dxa"/>
            <w:bottom w:w="0" w:type="dxa"/>
            <w:right w:w="5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108</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8"/>
              <w:jc w:val="center"/>
            </w:pPr>
            <w:r>
              <w:rPr>
                <w:rFonts w:ascii="宋体" w:hAnsi="宋体" w:eastAsia="宋体" w:cs="宋体"/>
                <w:sz w:val="16"/>
              </w:rPr>
              <w:t>注册建造师未办理变更注册而继续执业的处罚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6"/>
              <w:jc w:val="center"/>
            </w:pPr>
            <w:r>
              <w:rPr>
                <w:rFonts w:ascii="宋体" w:hAnsi="宋体" w:eastAsia="宋体" w:cs="宋体"/>
                <w:sz w:val="16"/>
              </w:rPr>
              <w:t>《注册建造师管理规定》</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94" w:type="dxa"/>
            <w:left w:w="29" w:type="dxa"/>
            <w:bottom w:w="0" w:type="dxa"/>
            <w:right w:w="52" w:type="dxa"/>
          </w:tblCellMar>
        </w:tblPrEx>
        <w:trPr>
          <w:trHeight w:val="948"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109</w:t>
            </w:r>
          </w:p>
        </w:tc>
        <w:tc>
          <w:tcPr>
            <w:tcW w:w="7687" w:type="dxa"/>
            <w:tcBorders>
              <w:top w:val="single" w:color="000000" w:sz="8" w:space="0"/>
              <w:left w:val="single" w:color="000000" w:sz="8" w:space="0"/>
              <w:bottom w:val="single" w:color="000000" w:sz="8" w:space="0"/>
              <w:right w:val="single" w:color="000000" w:sz="8" w:space="0"/>
            </w:tcBorders>
          </w:tcPr>
          <w:p>
            <w:pPr>
              <w:spacing w:after="0"/>
              <w:ind w:left="41" w:right="1"/>
              <w:jc w:val="both"/>
            </w:pPr>
            <w:r>
              <w:rPr>
                <w:rFonts w:ascii="宋体" w:hAnsi="宋体" w:eastAsia="宋体" w:cs="宋体"/>
                <w:sz w:val="16"/>
              </w:rPr>
              <w:t>注册建造师不履行注册建造师义务；在执业过程中，索贿、受贿或者谋取合同约定费用外的其他利益；在执业过程中实施商业贿赂；签署有虚假记载等不合格的文件；允许他人以自己的名义从事执业活动；同时在两个或者两个以上单位受聘或者执业；涂改、倒卖、出租、出借或以其他形式非法转让资格证书、注册证书和执业印章；超出执业范围和聘用单位业务范围内从事执业活动；法律、法规、规章禁止的其他行为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6"/>
              <w:jc w:val="center"/>
            </w:pPr>
            <w:r>
              <w:rPr>
                <w:rFonts w:ascii="宋体" w:hAnsi="宋体" w:eastAsia="宋体" w:cs="宋体"/>
                <w:sz w:val="16"/>
              </w:rPr>
              <w:t>《注册建造师管理规定》</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94" w:type="dxa"/>
            <w:left w:w="29" w:type="dxa"/>
            <w:bottom w:w="0" w:type="dxa"/>
            <w:right w:w="5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110</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9"/>
              <w:jc w:val="center"/>
            </w:pPr>
            <w:r>
              <w:rPr>
                <w:rFonts w:ascii="宋体" w:hAnsi="宋体" w:eastAsia="宋体" w:cs="宋体"/>
                <w:sz w:val="16"/>
              </w:rPr>
              <w:t>注册建造师或者其聘用单位未按照要求提供注册建造师信用档案信息的处罚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6"/>
              <w:jc w:val="center"/>
            </w:pPr>
            <w:r>
              <w:rPr>
                <w:rFonts w:ascii="宋体" w:hAnsi="宋体" w:eastAsia="宋体" w:cs="宋体"/>
                <w:sz w:val="16"/>
              </w:rPr>
              <w:t>《注册建造师管理规定》</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94" w:type="dxa"/>
            <w:left w:w="29" w:type="dxa"/>
            <w:bottom w:w="0" w:type="dxa"/>
            <w:right w:w="5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111</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8"/>
              <w:jc w:val="center"/>
            </w:pPr>
            <w:r>
              <w:rPr>
                <w:rFonts w:ascii="宋体" w:hAnsi="宋体" w:eastAsia="宋体" w:cs="宋体"/>
                <w:sz w:val="16"/>
              </w:rPr>
              <w:t>注册建造师聘用单位为申请人提供虚假注册材料的处罚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6"/>
              <w:jc w:val="center"/>
            </w:pPr>
            <w:r>
              <w:rPr>
                <w:rFonts w:ascii="宋体" w:hAnsi="宋体" w:eastAsia="宋体" w:cs="宋体"/>
                <w:sz w:val="16"/>
              </w:rPr>
              <w:t>《注册建造师管理规定》</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94" w:type="dxa"/>
            <w:left w:w="29" w:type="dxa"/>
            <w:bottom w:w="0" w:type="dxa"/>
            <w:right w:w="5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112</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9"/>
              <w:jc w:val="center"/>
            </w:pPr>
            <w:r>
              <w:rPr>
                <w:rFonts w:ascii="宋体" w:hAnsi="宋体" w:eastAsia="宋体" w:cs="宋体"/>
                <w:sz w:val="16"/>
              </w:rPr>
              <w:t>以欺骗、贿赂等不正当手段取得监理工程师注册证书的处罚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7"/>
              <w:jc w:val="center"/>
            </w:pPr>
            <w:r>
              <w:rPr>
                <w:rFonts w:ascii="宋体" w:hAnsi="宋体" w:eastAsia="宋体" w:cs="宋体"/>
                <w:sz w:val="16"/>
              </w:rPr>
              <w:t>《注册监理工程师管理规定》</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94" w:type="dxa"/>
            <w:left w:w="29" w:type="dxa"/>
            <w:bottom w:w="0" w:type="dxa"/>
            <w:right w:w="5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113</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7"/>
              <w:jc w:val="center"/>
            </w:pPr>
            <w:r>
              <w:rPr>
                <w:rFonts w:ascii="宋体" w:hAnsi="宋体" w:eastAsia="宋体" w:cs="宋体"/>
                <w:sz w:val="16"/>
              </w:rPr>
              <w:t>未经注册，擅自以注册监理工程师的名义从事工程监理及相关业务活动的处罚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7"/>
              <w:jc w:val="center"/>
            </w:pPr>
            <w:r>
              <w:rPr>
                <w:rFonts w:ascii="宋体" w:hAnsi="宋体" w:eastAsia="宋体" w:cs="宋体"/>
                <w:sz w:val="16"/>
              </w:rPr>
              <w:t>《注册监理工程师管理规定》</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94" w:type="dxa"/>
            <w:left w:w="29" w:type="dxa"/>
            <w:bottom w:w="0" w:type="dxa"/>
            <w:right w:w="5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114</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8"/>
              <w:jc w:val="center"/>
            </w:pPr>
            <w:r>
              <w:rPr>
                <w:rFonts w:ascii="宋体" w:hAnsi="宋体" w:eastAsia="宋体" w:cs="宋体"/>
                <w:sz w:val="16"/>
              </w:rPr>
              <w:t>监理工程师未办理变更注册仍执业的处罚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9"/>
              <w:jc w:val="center"/>
            </w:pPr>
            <w:r>
              <w:rPr>
                <w:rFonts w:ascii="宋体" w:hAnsi="宋体" w:eastAsia="宋体" w:cs="宋体"/>
                <w:sz w:val="16"/>
              </w:rPr>
              <w:t>《注册监理工程师管理规定》（建设部令第147号）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94" w:type="dxa"/>
            <w:left w:w="29" w:type="dxa"/>
            <w:bottom w:w="0" w:type="dxa"/>
            <w:right w:w="52" w:type="dxa"/>
          </w:tblCellMar>
        </w:tblPrEx>
        <w:trPr>
          <w:trHeight w:val="92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115</w:t>
            </w:r>
          </w:p>
        </w:tc>
        <w:tc>
          <w:tcPr>
            <w:tcW w:w="7687" w:type="dxa"/>
            <w:tcBorders>
              <w:top w:val="single" w:color="000000" w:sz="8" w:space="0"/>
              <w:left w:val="single" w:color="000000" w:sz="8" w:space="0"/>
              <w:bottom w:val="single" w:color="000000" w:sz="8" w:space="0"/>
              <w:right w:val="single" w:color="000000" w:sz="8" w:space="0"/>
            </w:tcBorders>
          </w:tcPr>
          <w:p>
            <w:pPr>
              <w:spacing w:after="0" w:line="233" w:lineRule="auto"/>
              <w:jc w:val="center"/>
            </w:pPr>
            <w:r>
              <w:rPr>
                <w:rFonts w:ascii="宋体" w:hAnsi="宋体" w:eastAsia="宋体" w:cs="宋体"/>
                <w:sz w:val="16"/>
              </w:rPr>
              <w:t>注册监理工程师以个人名义承接业务；涂改、倒卖、出租、出借或者以其他形式非法转让注册证书或者执业印章；泄露执业中应当保守的秘密并造成严重后果；超出规定执业范围或者聘用单位业务范围从事执业活</w:t>
            </w:r>
          </w:p>
          <w:p>
            <w:pPr>
              <w:spacing w:after="0"/>
              <w:jc w:val="center"/>
            </w:pPr>
            <w:r>
              <w:rPr>
                <w:rFonts w:ascii="宋体" w:hAnsi="宋体" w:eastAsia="宋体" w:cs="宋体"/>
                <w:sz w:val="16"/>
              </w:rPr>
              <w:t>动；弄虚作假提供执业活动成果；同时受聘于两个或者两个以上的单位，从事执业活动；其它违反法律、法规、规章的行为的处罚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7"/>
              <w:jc w:val="center"/>
            </w:pPr>
            <w:r>
              <w:rPr>
                <w:rFonts w:ascii="宋体" w:hAnsi="宋体" w:eastAsia="宋体" w:cs="宋体"/>
                <w:sz w:val="16"/>
              </w:rPr>
              <w:t>《注册监理工程师管理规定》</w:t>
            </w:r>
          </w:p>
        </w:tc>
        <w:tc>
          <w:tcPr>
            <w:tcW w:w="0" w:type="auto"/>
            <w:vMerge w:val="continue"/>
            <w:tcBorders>
              <w:top w:val="nil"/>
              <w:left w:val="single" w:color="000000" w:sz="8" w:space="0"/>
              <w:bottom w:val="single" w:color="000000" w:sz="8" w:space="0"/>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94" w:type="dxa"/>
            <w:left w:w="29" w:type="dxa"/>
            <w:bottom w:w="0" w:type="dxa"/>
            <w:right w:w="5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116</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9"/>
              <w:jc w:val="center"/>
            </w:pPr>
            <w:r>
              <w:rPr>
                <w:rFonts w:ascii="宋体" w:hAnsi="宋体" w:eastAsia="宋体" w:cs="宋体"/>
                <w:sz w:val="16"/>
              </w:rPr>
              <w:t>以欺骗、贿赂等不正当手段取得工程监理企业资质证书的处罚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8"/>
              <w:jc w:val="center"/>
            </w:pPr>
            <w:r>
              <w:rPr>
                <w:rFonts w:ascii="宋体" w:hAnsi="宋体" w:eastAsia="宋体" w:cs="宋体"/>
                <w:sz w:val="16"/>
              </w:rPr>
              <w:t>《工程监理企业资质管理规定》</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199"/>
            </w:pPr>
            <w:r>
              <w:rPr>
                <w:rFonts w:ascii="宋体" w:hAnsi="宋体" w:eastAsia="宋体" w:cs="宋体"/>
                <w:sz w:val="16"/>
              </w:rPr>
              <w:t>行政审批服务科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94" w:type="dxa"/>
            <w:left w:w="29" w:type="dxa"/>
            <w:bottom w:w="0" w:type="dxa"/>
            <w:right w:w="5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117</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40"/>
              <w:jc w:val="center"/>
            </w:pPr>
            <w:r>
              <w:rPr>
                <w:rFonts w:ascii="宋体" w:hAnsi="宋体" w:eastAsia="宋体" w:cs="宋体"/>
                <w:sz w:val="16"/>
              </w:rPr>
              <w:t>工程监理企业在监理过程中实施商业贿赂；涂改、伪造、出借、转让工程监理企业资质证书的处罚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8"/>
              <w:jc w:val="center"/>
            </w:pPr>
            <w:r>
              <w:rPr>
                <w:rFonts w:ascii="宋体" w:hAnsi="宋体" w:eastAsia="宋体" w:cs="宋体"/>
                <w:sz w:val="16"/>
              </w:rPr>
              <w:t>《工程监理企业资质管理规定》</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199"/>
            </w:pPr>
            <w:r>
              <w:rPr>
                <w:rFonts w:ascii="宋体" w:hAnsi="宋体" w:eastAsia="宋体" w:cs="宋体"/>
                <w:sz w:val="16"/>
              </w:rPr>
              <w:t>建筑市场管理科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bl>
    <w:p>
      <w:pPr>
        <w:spacing w:after="0"/>
        <w:ind w:left="-1440" w:right="15394"/>
      </w:pPr>
    </w:p>
    <w:tbl>
      <w:tblPr>
        <w:tblStyle w:val="7"/>
        <w:tblW w:w="15775" w:type="dxa"/>
        <w:tblInd w:w="-1080" w:type="dxa"/>
        <w:tblLayout w:type="autofit"/>
        <w:tblCellMar>
          <w:top w:w="32" w:type="dxa"/>
          <w:left w:w="29" w:type="dxa"/>
          <w:bottom w:w="0" w:type="dxa"/>
          <w:right w:w="50" w:type="dxa"/>
        </w:tblCellMar>
      </w:tblPr>
      <w:tblGrid>
        <w:gridCol w:w="662"/>
        <w:gridCol w:w="7687"/>
        <w:gridCol w:w="4766"/>
        <w:gridCol w:w="1565"/>
        <w:gridCol w:w="1095"/>
      </w:tblGrid>
      <w:tr>
        <w:tblPrEx>
          <w:tblCellMar>
            <w:top w:w="32" w:type="dxa"/>
            <w:left w:w="29" w:type="dxa"/>
            <w:bottom w:w="0" w:type="dxa"/>
            <w:right w:w="50" w:type="dxa"/>
          </w:tblCellMar>
        </w:tblPrEx>
        <w:trPr>
          <w:trHeight w:val="542"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49"/>
            </w:pPr>
            <w:r>
              <w:rPr>
                <w:rFonts w:ascii="黑体" w:hAnsi="黑体" w:eastAsia="黑体" w:cs="黑体"/>
                <w:sz w:val="16"/>
              </w:rPr>
              <w:t>序号</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4"/>
              <w:jc w:val="center"/>
            </w:pPr>
            <w:r>
              <w:rPr>
                <w:rFonts w:ascii="黑体" w:hAnsi="黑体" w:eastAsia="黑体" w:cs="黑体"/>
                <w:sz w:val="16"/>
              </w:rPr>
              <w:t>违法行为</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6"/>
              <w:jc w:val="center"/>
            </w:pPr>
            <w:r>
              <w:rPr>
                <w:rFonts w:ascii="黑体" w:hAnsi="黑体" w:eastAsia="黑体" w:cs="黑体"/>
                <w:sz w:val="16"/>
              </w:rPr>
              <w:t>行政处罚实施依据</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37"/>
              <w:jc w:val="center"/>
            </w:pPr>
            <w:r>
              <w:rPr>
                <w:rFonts w:ascii="黑体" w:hAnsi="黑体" w:eastAsia="黑体" w:cs="黑体"/>
                <w:sz w:val="16"/>
              </w:rPr>
              <w:t>责任科室</w:t>
            </w:r>
          </w:p>
        </w:tc>
        <w:tc>
          <w:tcPr>
            <w:tcW w:w="1094" w:type="dxa"/>
            <w:tcBorders>
              <w:top w:val="single" w:color="000000" w:sz="8" w:space="0"/>
              <w:left w:val="single" w:color="000000" w:sz="8" w:space="0"/>
              <w:bottom w:val="single" w:color="000000" w:sz="8" w:space="0"/>
              <w:right w:val="single" w:color="000000" w:sz="8" w:space="0"/>
            </w:tcBorders>
            <w:vAlign w:val="center"/>
          </w:tcPr>
          <w:p>
            <w:pPr>
              <w:spacing w:after="0"/>
              <w:ind w:left="36"/>
              <w:jc w:val="center"/>
            </w:pPr>
            <w:r>
              <w:rPr>
                <w:rFonts w:ascii="黑体" w:hAnsi="黑体" w:eastAsia="黑体" w:cs="黑体"/>
                <w:sz w:val="16"/>
              </w:rPr>
              <w:t>备注</w:t>
            </w:r>
          </w:p>
        </w:tc>
      </w:tr>
      <w:tr>
        <w:tblPrEx>
          <w:tblCellMar>
            <w:top w:w="32" w:type="dxa"/>
            <w:left w:w="29" w:type="dxa"/>
            <w:bottom w:w="0" w:type="dxa"/>
            <w:right w:w="50"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8"/>
              <w:jc w:val="center"/>
            </w:pPr>
            <w:r>
              <w:rPr>
                <w:rFonts w:ascii="宋体" w:hAnsi="宋体" w:eastAsia="宋体" w:cs="宋体"/>
                <w:sz w:val="16"/>
              </w:rPr>
              <w:t>118</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6"/>
              <w:jc w:val="center"/>
            </w:pPr>
            <w:r>
              <w:rPr>
                <w:rFonts w:ascii="宋体" w:hAnsi="宋体" w:eastAsia="宋体" w:cs="宋体"/>
                <w:sz w:val="16"/>
              </w:rPr>
              <w:t>工程监理企业不及时办理资质证书变更手续的处罚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5"/>
              <w:jc w:val="center"/>
            </w:pPr>
            <w:r>
              <w:rPr>
                <w:rFonts w:ascii="宋体" w:hAnsi="宋体" w:eastAsia="宋体" w:cs="宋体"/>
                <w:sz w:val="16"/>
              </w:rPr>
              <w:t>《注册监理工程师管理规定》</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199"/>
            </w:pPr>
            <w:r>
              <w:rPr>
                <w:rFonts w:ascii="宋体" w:hAnsi="宋体" w:eastAsia="宋体" w:cs="宋体"/>
                <w:sz w:val="16"/>
              </w:rPr>
              <w:t>行政审批服务科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32" w:type="dxa"/>
            <w:left w:w="29" w:type="dxa"/>
            <w:bottom w:w="0" w:type="dxa"/>
            <w:right w:w="50"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8"/>
              <w:jc w:val="center"/>
            </w:pPr>
            <w:r>
              <w:rPr>
                <w:rFonts w:ascii="宋体" w:hAnsi="宋体" w:eastAsia="宋体" w:cs="宋体"/>
                <w:sz w:val="16"/>
              </w:rPr>
              <w:t>119</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5"/>
              <w:jc w:val="center"/>
            </w:pPr>
            <w:r>
              <w:rPr>
                <w:rFonts w:ascii="宋体" w:hAnsi="宋体" w:eastAsia="宋体" w:cs="宋体"/>
                <w:sz w:val="16"/>
              </w:rPr>
              <w:t>工程监理企业未按规定要求提供工程监理企业信用档案信息的处罚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5"/>
              <w:jc w:val="center"/>
            </w:pPr>
            <w:r>
              <w:rPr>
                <w:rFonts w:ascii="宋体" w:hAnsi="宋体" w:eastAsia="宋体" w:cs="宋体"/>
                <w:sz w:val="16"/>
              </w:rPr>
              <w:t>《注册监理工程师管理规定》</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199"/>
            </w:pPr>
            <w:r>
              <w:rPr>
                <w:rFonts w:ascii="宋体" w:hAnsi="宋体" w:eastAsia="宋体" w:cs="宋体"/>
                <w:sz w:val="16"/>
              </w:rPr>
              <w:t>建筑市场管理科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32" w:type="dxa"/>
            <w:left w:w="29" w:type="dxa"/>
            <w:bottom w:w="0" w:type="dxa"/>
            <w:right w:w="50" w:type="dxa"/>
          </w:tblCellMar>
        </w:tblPrEx>
        <w:trPr>
          <w:trHeight w:val="986"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8"/>
              <w:jc w:val="center"/>
            </w:pPr>
            <w:r>
              <w:rPr>
                <w:rFonts w:ascii="宋体" w:hAnsi="宋体" w:eastAsia="宋体" w:cs="宋体"/>
                <w:sz w:val="16"/>
              </w:rPr>
              <w:t>120</w:t>
            </w:r>
          </w:p>
        </w:tc>
        <w:tc>
          <w:tcPr>
            <w:tcW w:w="7687" w:type="dxa"/>
            <w:tcBorders>
              <w:top w:val="single" w:color="000000" w:sz="8" w:space="0"/>
              <w:left w:val="single" w:color="000000" w:sz="8" w:space="0"/>
              <w:bottom w:val="single" w:color="000000" w:sz="8" w:space="0"/>
              <w:right w:val="single" w:color="000000" w:sz="8" w:space="0"/>
            </w:tcBorders>
          </w:tcPr>
          <w:p>
            <w:pPr>
              <w:spacing w:after="0"/>
              <w:jc w:val="center"/>
            </w:pPr>
            <w:r>
              <w:rPr>
                <w:rFonts w:ascii="宋体" w:hAnsi="宋体" w:eastAsia="宋体" w:cs="宋体"/>
                <w:sz w:val="16"/>
              </w:rPr>
              <w:t>建筑业企业申请建筑业企业资质升级、资质增项，在申请之日起前一年至资质许可决定作出前超越本企业资质等级或以其他企业的名义承揽工程，或允许其他企业或个人以本企业的名义承揽工程；与建设单位或企业之间相互串通投标，或以行贿等不正当手段谋取中标；将承包的工程转包或违法分包；恶意拖欠分包企业工程款或者劳务人员工资；其它违反法律、法规的行为的处罚；伪造、变造、倒卖、出租、出借或者以其他形式非法转让建筑业企业资质证书；</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5"/>
              <w:jc w:val="center"/>
            </w:pPr>
            <w:r>
              <w:rPr>
                <w:rFonts w:ascii="宋体" w:hAnsi="宋体" w:eastAsia="宋体" w:cs="宋体"/>
                <w:sz w:val="16"/>
              </w:rPr>
              <w:t>《建筑业企业资质管理规定》</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199"/>
            </w:pPr>
            <w:r>
              <w:rPr>
                <w:rFonts w:ascii="宋体" w:hAnsi="宋体" w:eastAsia="宋体" w:cs="宋体"/>
                <w:sz w:val="16"/>
              </w:rPr>
              <w:t>建筑市场管理科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32" w:type="dxa"/>
            <w:left w:w="29" w:type="dxa"/>
            <w:bottom w:w="0" w:type="dxa"/>
            <w:right w:w="50" w:type="dxa"/>
          </w:tblCellMar>
        </w:tblPrEx>
        <w:trPr>
          <w:trHeight w:val="986"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8"/>
              <w:jc w:val="center"/>
            </w:pPr>
            <w:r>
              <w:rPr>
                <w:rFonts w:ascii="宋体" w:hAnsi="宋体" w:eastAsia="宋体" w:cs="宋体"/>
                <w:sz w:val="16"/>
              </w:rPr>
              <w:t>121</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line="233" w:lineRule="auto"/>
              <w:jc w:val="center"/>
            </w:pPr>
            <w:r>
              <w:rPr>
                <w:rFonts w:ascii="宋体" w:hAnsi="宋体" w:eastAsia="宋体" w:cs="宋体"/>
                <w:sz w:val="16"/>
              </w:rPr>
              <w:t>未取得施工许可证擅自施工；违反国家工程建设强制性标准施工；隐瞒或谎报、拖延报告工程质量安全事故，破坏事故现场、阻碍对事故调查；按照国家法律、法规和标准规定需要持证上岗的现场管理人员和技术</w:t>
            </w:r>
          </w:p>
          <w:p>
            <w:pPr>
              <w:spacing w:after="0"/>
              <w:jc w:val="center"/>
            </w:pPr>
            <w:r>
              <w:rPr>
                <w:rFonts w:ascii="宋体" w:hAnsi="宋体" w:eastAsia="宋体" w:cs="宋体"/>
                <w:sz w:val="16"/>
              </w:rPr>
              <w:t>工种作业人员未取得证书上岗；未依法履行工程质量保修义务或拖延履行保修义务；发生过较大以上质量安全事故或者发生过两起以上一般质量安全事故；</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5"/>
              <w:jc w:val="center"/>
            </w:pPr>
            <w:r>
              <w:rPr>
                <w:rFonts w:ascii="宋体" w:hAnsi="宋体" w:eastAsia="宋体" w:cs="宋体"/>
                <w:sz w:val="16"/>
              </w:rPr>
              <w:t>《建筑业企业资质管理规定》</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38"/>
              <w:jc w:val="both"/>
            </w:pPr>
            <w:r>
              <w:rPr>
                <w:rFonts w:ascii="宋体" w:hAnsi="宋体" w:eastAsia="宋体" w:cs="宋体"/>
                <w:sz w:val="16"/>
              </w:rPr>
              <w:t>工程质量安全管理科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32" w:type="dxa"/>
            <w:left w:w="29" w:type="dxa"/>
            <w:bottom w:w="0" w:type="dxa"/>
            <w:right w:w="50"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8"/>
              <w:jc w:val="center"/>
            </w:pPr>
            <w:r>
              <w:rPr>
                <w:rFonts w:ascii="宋体" w:hAnsi="宋体" w:eastAsia="宋体" w:cs="宋体"/>
                <w:sz w:val="16"/>
              </w:rPr>
              <w:t>122</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6"/>
              <w:jc w:val="center"/>
            </w:pPr>
            <w:r>
              <w:rPr>
                <w:rFonts w:ascii="宋体" w:hAnsi="宋体" w:eastAsia="宋体" w:cs="宋体"/>
                <w:sz w:val="16"/>
              </w:rPr>
              <w:t>建筑业企业以欺骗、贿赂等不正当手段取得建筑业企业资质的处罚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187"/>
            </w:pPr>
            <w:r>
              <w:rPr>
                <w:rFonts w:ascii="宋体" w:hAnsi="宋体" w:eastAsia="宋体" w:cs="宋体"/>
                <w:sz w:val="16"/>
              </w:rPr>
              <w:t>《建筑业企业资质管理规定》（住房和城乡建设部令第22号）</w:t>
            </w:r>
          </w:p>
        </w:tc>
        <w:tc>
          <w:tcPr>
            <w:tcW w:w="1565" w:type="dxa"/>
            <w:vMerge w:val="restart"/>
            <w:tcBorders>
              <w:top w:val="single" w:color="000000" w:sz="8" w:space="0"/>
              <w:left w:val="single" w:color="000000" w:sz="8" w:space="0"/>
              <w:bottom w:val="nil"/>
              <w:right w:val="single" w:color="000000" w:sz="8" w:space="0"/>
            </w:tcBorders>
            <w:vAlign w:val="bottom"/>
          </w:tcPr>
          <w:p>
            <w:pPr>
              <w:spacing w:after="0"/>
              <w:ind w:left="199"/>
            </w:pPr>
            <w:r>
              <w:rPr>
                <w:rFonts w:ascii="宋体" w:hAnsi="宋体" w:eastAsia="宋体" w:cs="宋体"/>
                <w:sz w:val="16"/>
              </w:rPr>
              <w:t>行政审批服务科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32" w:type="dxa"/>
            <w:left w:w="29" w:type="dxa"/>
            <w:bottom w:w="0" w:type="dxa"/>
            <w:right w:w="50" w:type="dxa"/>
          </w:tblCellMar>
        </w:tblPrEx>
        <w:trPr>
          <w:trHeight w:val="166" w:hRule="atLeast"/>
        </w:trPr>
        <w:tc>
          <w:tcPr>
            <w:tcW w:w="662" w:type="dxa"/>
            <w:tcBorders>
              <w:top w:val="single" w:color="000000" w:sz="8" w:space="0"/>
              <w:left w:val="single" w:color="000000" w:sz="8" w:space="0"/>
              <w:bottom w:val="nil"/>
              <w:right w:val="single" w:color="000000" w:sz="8" w:space="0"/>
            </w:tcBorders>
          </w:tcPr>
          <w:p>
            <w:pPr>
              <w:spacing w:after="0"/>
            </w:pPr>
          </w:p>
        </w:tc>
        <w:tc>
          <w:tcPr>
            <w:tcW w:w="7687" w:type="dxa"/>
            <w:tcBorders>
              <w:top w:val="single" w:color="000000" w:sz="8" w:space="0"/>
              <w:left w:val="single" w:color="000000" w:sz="8" w:space="0"/>
              <w:bottom w:val="nil"/>
              <w:right w:val="single" w:color="000000" w:sz="8" w:space="0"/>
            </w:tcBorders>
          </w:tcPr>
          <w:p>
            <w:pPr>
              <w:spacing w:after="0"/>
            </w:pPr>
          </w:p>
        </w:tc>
        <w:tc>
          <w:tcPr>
            <w:tcW w:w="4766" w:type="dxa"/>
            <w:tcBorders>
              <w:top w:val="single" w:color="000000" w:sz="8" w:space="0"/>
              <w:left w:val="single" w:color="000000" w:sz="8" w:space="0"/>
              <w:bottom w:val="nil"/>
              <w:right w:val="single" w:color="000000" w:sz="8" w:space="0"/>
            </w:tcBorders>
          </w:tcPr>
          <w:p>
            <w:pPr>
              <w:spacing w:after="0"/>
            </w:pP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nil"/>
              <w:right w:val="single" w:color="000000" w:sz="8" w:space="0"/>
            </w:tcBorders>
          </w:tcPr>
          <w:p>
            <w:pPr>
              <w:spacing w:after="0"/>
            </w:pPr>
          </w:p>
        </w:tc>
      </w:tr>
      <w:tr>
        <w:tblPrEx>
          <w:tblCellMar>
            <w:top w:w="32" w:type="dxa"/>
            <w:left w:w="29" w:type="dxa"/>
            <w:bottom w:w="0" w:type="dxa"/>
            <w:right w:w="50" w:type="dxa"/>
          </w:tblCellMar>
        </w:tblPrEx>
        <w:trPr>
          <w:trHeight w:val="453" w:hRule="atLeast"/>
        </w:trPr>
        <w:tc>
          <w:tcPr>
            <w:tcW w:w="662" w:type="dxa"/>
            <w:tcBorders>
              <w:top w:val="nil"/>
              <w:left w:val="single" w:color="000000" w:sz="8" w:space="0"/>
              <w:bottom w:val="single" w:color="000000" w:sz="8" w:space="0"/>
              <w:right w:val="single" w:color="000000" w:sz="8" w:space="0"/>
            </w:tcBorders>
          </w:tcPr>
          <w:p>
            <w:pPr>
              <w:spacing w:after="0"/>
              <w:ind w:left="38"/>
              <w:jc w:val="center"/>
            </w:pPr>
            <w:r>
              <w:rPr>
                <w:rFonts w:ascii="宋体" w:hAnsi="宋体" w:eastAsia="宋体" w:cs="宋体"/>
                <w:sz w:val="16"/>
              </w:rPr>
              <w:t>123</w:t>
            </w:r>
          </w:p>
        </w:tc>
        <w:tc>
          <w:tcPr>
            <w:tcW w:w="7687" w:type="dxa"/>
            <w:tcBorders>
              <w:top w:val="nil"/>
              <w:left w:val="single" w:color="000000" w:sz="8" w:space="0"/>
              <w:bottom w:val="single" w:color="000000" w:sz="8" w:space="0"/>
              <w:right w:val="single" w:color="000000" w:sz="8" w:space="0"/>
            </w:tcBorders>
          </w:tcPr>
          <w:p>
            <w:pPr>
              <w:spacing w:after="0"/>
              <w:ind w:left="39"/>
              <w:jc w:val="center"/>
            </w:pPr>
            <w:r>
              <w:rPr>
                <w:rFonts w:ascii="宋体" w:hAnsi="宋体" w:eastAsia="宋体" w:cs="宋体"/>
                <w:sz w:val="16"/>
              </w:rPr>
              <w:t>建筑业企业未及时办理资质证书变更手续的处罚</w:t>
            </w:r>
          </w:p>
        </w:tc>
        <w:tc>
          <w:tcPr>
            <w:tcW w:w="4766" w:type="dxa"/>
            <w:tcBorders>
              <w:top w:val="nil"/>
              <w:left w:val="single" w:color="000000" w:sz="8" w:space="0"/>
              <w:bottom w:val="single" w:color="000000" w:sz="8" w:space="0"/>
              <w:right w:val="single" w:color="000000" w:sz="8" w:space="0"/>
            </w:tcBorders>
          </w:tcPr>
          <w:p>
            <w:pPr>
              <w:spacing w:after="0"/>
              <w:ind w:left="35"/>
              <w:jc w:val="center"/>
            </w:pPr>
            <w:r>
              <w:rPr>
                <w:rFonts w:ascii="宋体" w:hAnsi="宋体" w:eastAsia="宋体" w:cs="宋体"/>
                <w:sz w:val="16"/>
              </w:rPr>
              <w:t>《建筑业企业资质管理规定》</w:t>
            </w:r>
          </w:p>
        </w:tc>
        <w:tc>
          <w:tcPr>
            <w:tcW w:w="1565" w:type="dxa"/>
            <w:tcBorders>
              <w:top w:val="nil"/>
              <w:left w:val="single" w:color="000000" w:sz="8" w:space="0"/>
              <w:bottom w:val="single" w:color="000000" w:sz="8" w:space="0"/>
              <w:right w:val="single" w:color="000000" w:sz="8" w:space="0"/>
            </w:tcBorders>
          </w:tcPr>
          <w:p>
            <w:pPr>
              <w:spacing w:after="0"/>
            </w:pPr>
          </w:p>
        </w:tc>
        <w:tc>
          <w:tcPr>
            <w:tcW w:w="1094" w:type="dxa"/>
            <w:tcBorders>
              <w:top w:val="nil"/>
              <w:left w:val="single" w:color="000000" w:sz="8" w:space="0"/>
              <w:bottom w:val="single" w:color="000000" w:sz="8" w:space="0"/>
              <w:right w:val="single" w:color="000000" w:sz="8" w:space="0"/>
            </w:tcBorders>
          </w:tcPr>
          <w:p>
            <w:pPr>
              <w:spacing w:after="0"/>
            </w:pPr>
          </w:p>
        </w:tc>
      </w:tr>
      <w:tr>
        <w:tblPrEx>
          <w:tblCellMar>
            <w:top w:w="32" w:type="dxa"/>
            <w:left w:w="29" w:type="dxa"/>
            <w:bottom w:w="0" w:type="dxa"/>
            <w:right w:w="50" w:type="dxa"/>
          </w:tblCellMar>
        </w:tblPrEx>
        <w:trPr>
          <w:trHeight w:val="619" w:hRule="atLeast"/>
        </w:trPr>
        <w:tc>
          <w:tcPr>
            <w:tcW w:w="662" w:type="dxa"/>
            <w:vMerge w:val="restart"/>
            <w:tcBorders>
              <w:top w:val="single" w:color="000000" w:sz="8" w:space="0"/>
              <w:left w:val="single" w:color="000000" w:sz="8" w:space="0"/>
              <w:bottom w:val="single" w:color="000000" w:sz="8" w:space="0"/>
              <w:right w:val="single" w:color="000000" w:sz="8" w:space="0"/>
            </w:tcBorders>
            <w:vAlign w:val="center"/>
          </w:tcPr>
          <w:p>
            <w:pPr>
              <w:spacing w:after="0"/>
              <w:ind w:left="38"/>
              <w:jc w:val="center"/>
            </w:pPr>
            <w:r>
              <w:rPr>
                <w:rFonts w:ascii="宋体" w:hAnsi="宋体" w:eastAsia="宋体" w:cs="宋体"/>
                <w:sz w:val="16"/>
              </w:rPr>
              <w:t>124</w:t>
            </w:r>
          </w:p>
        </w:tc>
        <w:tc>
          <w:tcPr>
            <w:tcW w:w="7687" w:type="dxa"/>
            <w:vMerge w:val="restart"/>
            <w:tcBorders>
              <w:top w:val="single" w:color="000000" w:sz="8" w:space="0"/>
              <w:left w:val="single" w:color="000000" w:sz="8" w:space="0"/>
              <w:bottom w:val="single" w:color="000000" w:sz="8" w:space="0"/>
              <w:right w:val="single" w:color="000000" w:sz="8" w:space="0"/>
            </w:tcBorders>
            <w:vAlign w:val="center"/>
          </w:tcPr>
          <w:p>
            <w:pPr>
              <w:spacing w:after="0"/>
              <w:ind w:left="36"/>
              <w:jc w:val="center"/>
            </w:pPr>
            <w:r>
              <w:rPr>
                <w:rFonts w:ascii="宋体" w:hAnsi="宋体" w:eastAsia="宋体" w:cs="宋体"/>
                <w:sz w:val="16"/>
              </w:rPr>
              <w:t>建筑业企业在接受监督检查时，不如实提供有关材料，或者拒绝、阻碍监督检查的处罚</w:t>
            </w:r>
          </w:p>
        </w:tc>
        <w:tc>
          <w:tcPr>
            <w:tcW w:w="4766" w:type="dxa"/>
            <w:vMerge w:val="restart"/>
            <w:tcBorders>
              <w:top w:val="single" w:color="000000" w:sz="8" w:space="0"/>
              <w:left w:val="single" w:color="000000" w:sz="8" w:space="0"/>
              <w:bottom w:val="single" w:color="000000" w:sz="8" w:space="0"/>
              <w:right w:val="single" w:color="000000" w:sz="8" w:space="0"/>
            </w:tcBorders>
            <w:vAlign w:val="center"/>
          </w:tcPr>
          <w:p>
            <w:pPr>
              <w:spacing w:after="0"/>
              <w:ind w:left="35"/>
              <w:jc w:val="center"/>
            </w:pPr>
            <w:r>
              <w:rPr>
                <w:rFonts w:ascii="宋体" w:hAnsi="宋体" w:eastAsia="宋体" w:cs="宋体"/>
                <w:sz w:val="16"/>
              </w:rPr>
              <w:t>《建筑业企业资质管理规定》</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199"/>
            </w:pPr>
            <w:r>
              <w:rPr>
                <w:rFonts w:ascii="宋体" w:hAnsi="宋体" w:eastAsia="宋体" w:cs="宋体"/>
                <w:sz w:val="16"/>
              </w:rPr>
              <w:t>建筑市场管理科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r>
              <w:rPr>
                <w:rFonts w:ascii="宋体" w:hAnsi="宋体" w:eastAsia="宋体" w:cs="宋体"/>
                <w:sz w:val="16"/>
              </w:rPr>
              <w:t>涉及违法分包、转包或资质审查情形</w:t>
            </w:r>
          </w:p>
        </w:tc>
      </w:tr>
      <w:tr>
        <w:tblPrEx>
          <w:tblCellMar>
            <w:top w:w="32" w:type="dxa"/>
            <w:left w:w="29" w:type="dxa"/>
            <w:bottom w:w="0" w:type="dxa"/>
            <w:right w:w="50" w:type="dxa"/>
          </w:tblCellMar>
        </w:tblPrEx>
        <w:trPr>
          <w:trHeight w:val="562" w:hRule="atLeast"/>
        </w:trPr>
        <w:tc>
          <w:tcPr>
            <w:tcW w:w="0" w:type="auto"/>
            <w:vMerge w:val="continue"/>
            <w:tcBorders>
              <w:top w:val="nil"/>
              <w:left w:val="single" w:color="000000" w:sz="8" w:space="0"/>
              <w:bottom w:val="single" w:color="000000" w:sz="8" w:space="0"/>
              <w:right w:val="single" w:color="000000" w:sz="8" w:space="0"/>
            </w:tcBorders>
          </w:tcPr>
          <w:p>
            <w:pPr>
              <w:spacing w:after="0"/>
            </w:pPr>
          </w:p>
        </w:tc>
        <w:tc>
          <w:tcPr>
            <w:tcW w:w="0" w:type="auto"/>
            <w:vMerge w:val="continue"/>
            <w:tcBorders>
              <w:top w:val="nil"/>
              <w:left w:val="single" w:color="000000" w:sz="8" w:space="0"/>
              <w:bottom w:val="single" w:color="000000" w:sz="8" w:space="0"/>
              <w:right w:val="single" w:color="000000" w:sz="8" w:space="0"/>
            </w:tcBorders>
          </w:tcPr>
          <w:p>
            <w:pPr>
              <w:spacing w:after="0"/>
            </w:pPr>
          </w:p>
        </w:tc>
        <w:tc>
          <w:tcPr>
            <w:tcW w:w="0" w:type="auto"/>
            <w:vMerge w:val="continue"/>
            <w:tcBorders>
              <w:top w:val="nil"/>
              <w:left w:val="single" w:color="000000" w:sz="8" w:space="0"/>
              <w:bottom w:val="single" w:color="000000" w:sz="8" w:space="0"/>
              <w:right w:val="single" w:color="000000" w:sz="8" w:space="0"/>
            </w:tcBorders>
          </w:tcPr>
          <w:p>
            <w:pPr>
              <w:spacing w:after="0"/>
            </w:pP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2"/>
              <w:jc w:val="both"/>
            </w:pPr>
            <w:r>
              <w:rPr>
                <w:rFonts w:ascii="宋体" w:hAnsi="宋体" w:eastAsia="宋体" w:cs="宋体"/>
                <w:sz w:val="16"/>
              </w:rPr>
              <w:t>工程质量安全管理科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r>
              <w:rPr>
                <w:rFonts w:ascii="宋体" w:hAnsi="宋体" w:eastAsia="宋体" w:cs="宋体"/>
                <w:sz w:val="16"/>
              </w:rPr>
              <w:t>涉及质量安全现场检查情形</w:t>
            </w:r>
          </w:p>
        </w:tc>
      </w:tr>
      <w:tr>
        <w:tblPrEx>
          <w:tblCellMar>
            <w:top w:w="32" w:type="dxa"/>
            <w:left w:w="29" w:type="dxa"/>
            <w:bottom w:w="0" w:type="dxa"/>
            <w:right w:w="50"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8"/>
              <w:jc w:val="center"/>
            </w:pPr>
            <w:r>
              <w:rPr>
                <w:rFonts w:ascii="宋体" w:hAnsi="宋体" w:eastAsia="宋体" w:cs="宋体"/>
                <w:sz w:val="16"/>
              </w:rPr>
              <w:t>125</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8"/>
              <w:jc w:val="center"/>
            </w:pPr>
            <w:r>
              <w:rPr>
                <w:rFonts w:ascii="宋体" w:hAnsi="宋体" w:eastAsia="宋体" w:cs="宋体"/>
                <w:sz w:val="16"/>
              </w:rPr>
              <w:t>建筑业企业未按照要求提供建筑业企业信用档案信息的处罚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5"/>
              <w:jc w:val="center"/>
            </w:pPr>
            <w:r>
              <w:rPr>
                <w:rFonts w:ascii="宋体" w:hAnsi="宋体" w:eastAsia="宋体" w:cs="宋体"/>
                <w:sz w:val="16"/>
              </w:rPr>
              <w:t>《建筑业企业资质管理规定》</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199"/>
            </w:pPr>
            <w:r>
              <w:rPr>
                <w:rFonts w:ascii="宋体" w:hAnsi="宋体" w:eastAsia="宋体" w:cs="宋体"/>
                <w:sz w:val="16"/>
              </w:rPr>
              <w:t>建筑市场管理科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32" w:type="dxa"/>
            <w:left w:w="29" w:type="dxa"/>
            <w:bottom w:w="0" w:type="dxa"/>
            <w:right w:w="50"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8"/>
              <w:jc w:val="center"/>
            </w:pPr>
            <w:r>
              <w:rPr>
                <w:rFonts w:ascii="宋体" w:hAnsi="宋体" w:eastAsia="宋体" w:cs="宋体"/>
                <w:sz w:val="16"/>
              </w:rPr>
              <w:t>126</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7"/>
              <w:jc w:val="center"/>
            </w:pPr>
            <w:r>
              <w:rPr>
                <w:rFonts w:ascii="宋体" w:hAnsi="宋体" w:eastAsia="宋体" w:cs="宋体"/>
                <w:sz w:val="16"/>
              </w:rPr>
              <w:t>建设单位违反建筑节能标准的处罚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7"/>
              <w:jc w:val="center"/>
            </w:pPr>
            <w:r>
              <w:rPr>
                <w:rFonts w:ascii="宋体" w:hAnsi="宋体" w:eastAsia="宋体" w:cs="宋体"/>
                <w:sz w:val="16"/>
              </w:rPr>
              <w:t>《中华人民共和国节约能源法》（主席令第77号）</w:t>
            </w:r>
          </w:p>
        </w:tc>
        <w:tc>
          <w:tcPr>
            <w:tcW w:w="1565" w:type="dxa"/>
            <w:vMerge w:val="restart"/>
            <w:tcBorders>
              <w:top w:val="single" w:color="000000" w:sz="8" w:space="0"/>
              <w:left w:val="single" w:color="000000" w:sz="8" w:space="0"/>
              <w:bottom w:val="single" w:color="000000" w:sz="8" w:space="0"/>
              <w:right w:val="single" w:color="000000" w:sz="8" w:space="0"/>
            </w:tcBorders>
            <w:vAlign w:val="center"/>
          </w:tcPr>
          <w:p>
            <w:pPr>
              <w:spacing w:after="0"/>
              <w:ind w:left="278"/>
            </w:pPr>
            <w:r>
              <w:rPr>
                <w:rFonts w:ascii="宋体" w:hAnsi="宋体" w:eastAsia="宋体" w:cs="宋体"/>
                <w:sz w:val="16"/>
              </w:rPr>
              <w:t>科技与标准科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32" w:type="dxa"/>
            <w:left w:w="29" w:type="dxa"/>
            <w:bottom w:w="0" w:type="dxa"/>
            <w:right w:w="50"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8"/>
              <w:jc w:val="center"/>
            </w:pPr>
            <w:r>
              <w:rPr>
                <w:rFonts w:ascii="宋体" w:hAnsi="宋体" w:eastAsia="宋体" w:cs="宋体"/>
                <w:sz w:val="16"/>
              </w:rPr>
              <w:t>127</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7"/>
              <w:jc w:val="center"/>
            </w:pPr>
            <w:r>
              <w:rPr>
                <w:rFonts w:ascii="宋体" w:hAnsi="宋体" w:eastAsia="宋体" w:cs="宋体"/>
                <w:sz w:val="16"/>
              </w:rPr>
              <w:t>设计单位、施工单位、监理单位违反建筑节能标准的处罚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7"/>
              <w:jc w:val="center"/>
            </w:pPr>
            <w:r>
              <w:rPr>
                <w:rFonts w:ascii="宋体" w:hAnsi="宋体" w:eastAsia="宋体" w:cs="宋体"/>
                <w:sz w:val="16"/>
              </w:rPr>
              <w:t>《中华人民共和国节约能源法》（主席令第77号）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32" w:type="dxa"/>
            <w:left w:w="29" w:type="dxa"/>
            <w:bottom w:w="0" w:type="dxa"/>
            <w:right w:w="50"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8"/>
              <w:jc w:val="center"/>
            </w:pPr>
            <w:r>
              <w:rPr>
                <w:rFonts w:ascii="宋体" w:hAnsi="宋体" w:eastAsia="宋体" w:cs="宋体"/>
                <w:sz w:val="16"/>
              </w:rPr>
              <w:t>128</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7"/>
              <w:jc w:val="center"/>
            </w:pPr>
            <w:r>
              <w:rPr>
                <w:rFonts w:ascii="宋体" w:hAnsi="宋体" w:eastAsia="宋体" w:cs="宋体"/>
                <w:sz w:val="16"/>
              </w:rPr>
              <w:t>房地产开发企业在销售房屋时未向购买人明示所售房屋的节能措施、保温工程保修期等信息的处罚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7"/>
              <w:jc w:val="center"/>
            </w:pPr>
            <w:r>
              <w:rPr>
                <w:rFonts w:ascii="宋体" w:hAnsi="宋体" w:eastAsia="宋体" w:cs="宋体"/>
                <w:sz w:val="16"/>
              </w:rPr>
              <w:t>《中华人民共和国节约能源法》（主席令第77号）</w:t>
            </w:r>
          </w:p>
        </w:tc>
        <w:tc>
          <w:tcPr>
            <w:tcW w:w="0" w:type="auto"/>
            <w:vMerge w:val="continue"/>
            <w:tcBorders>
              <w:top w:val="nil"/>
              <w:left w:val="single" w:color="000000" w:sz="8" w:space="0"/>
              <w:bottom w:val="single" w:color="000000" w:sz="8" w:space="0"/>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32" w:type="dxa"/>
            <w:left w:w="29" w:type="dxa"/>
            <w:bottom w:w="0" w:type="dxa"/>
            <w:right w:w="50" w:type="dxa"/>
          </w:tblCellMar>
        </w:tblPrEx>
        <w:trPr>
          <w:trHeight w:val="986"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8"/>
              <w:jc w:val="center"/>
            </w:pPr>
            <w:r>
              <w:rPr>
                <w:rFonts w:ascii="宋体" w:hAnsi="宋体" w:eastAsia="宋体" w:cs="宋体"/>
                <w:sz w:val="16"/>
              </w:rPr>
              <w:t>129</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1" w:line="232" w:lineRule="auto"/>
              <w:jc w:val="center"/>
            </w:pPr>
            <w:r>
              <w:rPr>
                <w:rFonts w:ascii="宋体" w:hAnsi="宋体" w:eastAsia="宋体" w:cs="宋体"/>
                <w:sz w:val="16"/>
              </w:rPr>
              <w:t>建设单位明示或者暗示设计单位、施工单位违反民用建筑节能强制性标准进行设计、施工；明示或者暗示施工单位使用不符合施工图设计文件要求的墙体材料、保温材料、门窗、采暖制冷系统和照明设备；采购不符</w:t>
            </w:r>
          </w:p>
          <w:p>
            <w:pPr>
              <w:spacing w:after="0"/>
              <w:jc w:val="center"/>
            </w:pPr>
            <w:r>
              <w:rPr>
                <w:rFonts w:ascii="宋体" w:hAnsi="宋体" w:eastAsia="宋体" w:cs="宋体"/>
                <w:sz w:val="16"/>
              </w:rPr>
              <w:t>合施工图设计文件要求的墙体材料、保温材料、门窗、采暖制冷系统和照明设备；使用列入禁止使用目录的技术、工艺、材料和设备的处罚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3"/>
              <w:jc w:val="center"/>
            </w:pPr>
            <w:r>
              <w:rPr>
                <w:rFonts w:ascii="宋体" w:hAnsi="宋体" w:eastAsia="宋体" w:cs="宋体"/>
                <w:sz w:val="16"/>
              </w:rPr>
              <w:t>《民用建筑节能条例》(国务院令第530号)</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278"/>
            </w:pPr>
            <w:r>
              <w:rPr>
                <w:rFonts w:ascii="宋体" w:hAnsi="宋体" w:eastAsia="宋体" w:cs="宋体"/>
                <w:sz w:val="16"/>
              </w:rPr>
              <w:t>科技与标准科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bl>
    <w:p>
      <w:pPr>
        <w:spacing w:after="0"/>
        <w:ind w:left="-1440" w:right="15394"/>
      </w:pPr>
    </w:p>
    <w:tbl>
      <w:tblPr>
        <w:tblStyle w:val="7"/>
        <w:tblW w:w="15775" w:type="dxa"/>
        <w:tblInd w:w="-1080" w:type="dxa"/>
        <w:tblLayout w:type="autofit"/>
        <w:tblCellMar>
          <w:top w:w="24" w:type="dxa"/>
          <w:left w:w="29" w:type="dxa"/>
          <w:bottom w:w="18" w:type="dxa"/>
          <w:right w:w="52" w:type="dxa"/>
        </w:tblCellMar>
      </w:tblPr>
      <w:tblGrid>
        <w:gridCol w:w="662"/>
        <w:gridCol w:w="7687"/>
        <w:gridCol w:w="4766"/>
        <w:gridCol w:w="1565"/>
        <w:gridCol w:w="1095"/>
      </w:tblGrid>
      <w:tr>
        <w:tblPrEx>
          <w:tblCellMar>
            <w:top w:w="24" w:type="dxa"/>
            <w:left w:w="29" w:type="dxa"/>
            <w:bottom w:w="18" w:type="dxa"/>
            <w:right w:w="52" w:type="dxa"/>
          </w:tblCellMar>
        </w:tblPrEx>
        <w:trPr>
          <w:trHeight w:val="542"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49"/>
            </w:pPr>
            <w:r>
              <w:rPr>
                <w:rFonts w:ascii="黑体" w:hAnsi="黑体" w:eastAsia="黑体" w:cs="黑体"/>
                <w:sz w:val="16"/>
              </w:rPr>
              <w:t>序号</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6"/>
              <w:jc w:val="center"/>
            </w:pPr>
            <w:r>
              <w:rPr>
                <w:rFonts w:ascii="黑体" w:hAnsi="黑体" w:eastAsia="黑体" w:cs="黑体"/>
                <w:sz w:val="16"/>
              </w:rPr>
              <w:t>违法行为</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8"/>
              <w:jc w:val="center"/>
            </w:pPr>
            <w:r>
              <w:rPr>
                <w:rFonts w:ascii="黑体" w:hAnsi="黑体" w:eastAsia="黑体" w:cs="黑体"/>
                <w:sz w:val="16"/>
              </w:rPr>
              <w:t>行政处罚实施依据</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39"/>
              <w:jc w:val="center"/>
            </w:pPr>
            <w:r>
              <w:rPr>
                <w:rFonts w:ascii="黑体" w:hAnsi="黑体" w:eastAsia="黑体" w:cs="黑体"/>
                <w:sz w:val="16"/>
              </w:rPr>
              <w:t>责任科室</w:t>
            </w:r>
          </w:p>
        </w:tc>
        <w:tc>
          <w:tcPr>
            <w:tcW w:w="1094" w:type="dxa"/>
            <w:tcBorders>
              <w:top w:val="single" w:color="000000" w:sz="8" w:space="0"/>
              <w:left w:val="single" w:color="000000" w:sz="8" w:space="0"/>
              <w:bottom w:val="single" w:color="000000" w:sz="8" w:space="0"/>
              <w:right w:val="single" w:color="000000" w:sz="8" w:space="0"/>
            </w:tcBorders>
            <w:vAlign w:val="center"/>
          </w:tcPr>
          <w:p>
            <w:pPr>
              <w:spacing w:after="0"/>
              <w:ind w:left="38"/>
              <w:jc w:val="center"/>
            </w:pPr>
            <w:r>
              <w:rPr>
                <w:rFonts w:ascii="黑体" w:hAnsi="黑体" w:eastAsia="黑体" w:cs="黑体"/>
                <w:sz w:val="16"/>
              </w:rPr>
              <w:t>备注</w:t>
            </w:r>
          </w:p>
        </w:tc>
      </w:tr>
      <w:tr>
        <w:tblPrEx>
          <w:tblCellMar>
            <w:top w:w="24" w:type="dxa"/>
            <w:left w:w="29" w:type="dxa"/>
            <w:bottom w:w="18" w:type="dxa"/>
            <w:right w:w="5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130</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9"/>
              <w:jc w:val="center"/>
            </w:pPr>
            <w:r>
              <w:rPr>
                <w:rFonts w:ascii="宋体" w:hAnsi="宋体" w:eastAsia="宋体" w:cs="宋体"/>
                <w:sz w:val="16"/>
              </w:rPr>
              <w:t>建设单位对不符合民用建筑节能强制性标准的民用建筑项目出具竣工验收合格报告的处罚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5"/>
              <w:jc w:val="center"/>
            </w:pPr>
            <w:r>
              <w:rPr>
                <w:rFonts w:ascii="宋体" w:hAnsi="宋体" w:eastAsia="宋体" w:cs="宋体"/>
                <w:sz w:val="16"/>
              </w:rPr>
              <w:t>《民用建筑节能条例》(国务院令第530号)</w:t>
            </w:r>
          </w:p>
        </w:tc>
        <w:tc>
          <w:tcPr>
            <w:tcW w:w="1565" w:type="dxa"/>
            <w:vMerge w:val="restart"/>
            <w:tcBorders>
              <w:top w:val="single" w:color="000000" w:sz="8" w:space="0"/>
              <w:left w:val="single" w:color="000000" w:sz="8" w:space="0"/>
              <w:bottom w:val="nil"/>
              <w:right w:val="single" w:color="000000" w:sz="8" w:space="0"/>
            </w:tcBorders>
            <w:vAlign w:val="bottom"/>
          </w:tcPr>
          <w:p>
            <w:pPr>
              <w:spacing w:after="0"/>
              <w:ind w:left="278"/>
            </w:pPr>
            <w:r>
              <w:rPr>
                <w:rFonts w:ascii="宋体" w:hAnsi="宋体" w:eastAsia="宋体" w:cs="宋体"/>
                <w:sz w:val="16"/>
              </w:rPr>
              <w:t>科技与标准科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4" w:type="dxa"/>
            <w:left w:w="29" w:type="dxa"/>
            <w:bottom w:w="18" w:type="dxa"/>
            <w:right w:w="52" w:type="dxa"/>
          </w:tblCellMar>
        </w:tblPrEx>
        <w:trPr>
          <w:trHeight w:val="117" w:hRule="atLeast"/>
        </w:trPr>
        <w:tc>
          <w:tcPr>
            <w:tcW w:w="662" w:type="dxa"/>
            <w:tcBorders>
              <w:top w:val="single" w:color="000000" w:sz="8" w:space="0"/>
              <w:left w:val="single" w:color="000000" w:sz="8" w:space="0"/>
              <w:bottom w:val="nil"/>
              <w:right w:val="single" w:color="000000" w:sz="8" w:space="0"/>
            </w:tcBorders>
          </w:tcPr>
          <w:p>
            <w:pPr>
              <w:spacing w:after="0"/>
            </w:pPr>
          </w:p>
        </w:tc>
        <w:tc>
          <w:tcPr>
            <w:tcW w:w="7687" w:type="dxa"/>
            <w:tcBorders>
              <w:top w:val="single" w:color="000000" w:sz="8" w:space="0"/>
              <w:left w:val="single" w:color="000000" w:sz="8" w:space="0"/>
              <w:bottom w:val="nil"/>
              <w:right w:val="single" w:color="000000" w:sz="8" w:space="0"/>
            </w:tcBorders>
          </w:tcPr>
          <w:p>
            <w:pPr>
              <w:spacing w:after="0"/>
            </w:pPr>
          </w:p>
        </w:tc>
        <w:tc>
          <w:tcPr>
            <w:tcW w:w="4766" w:type="dxa"/>
            <w:tcBorders>
              <w:top w:val="single" w:color="000000" w:sz="8" w:space="0"/>
              <w:left w:val="single" w:color="000000" w:sz="8" w:space="0"/>
              <w:bottom w:val="nil"/>
              <w:right w:val="single" w:color="000000" w:sz="8" w:space="0"/>
            </w:tcBorders>
          </w:tcPr>
          <w:p>
            <w:pPr>
              <w:spacing w:after="0"/>
            </w:pP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nil"/>
              <w:right w:val="single" w:color="000000" w:sz="8" w:space="0"/>
            </w:tcBorders>
          </w:tcPr>
          <w:p>
            <w:pPr>
              <w:spacing w:after="0"/>
            </w:pPr>
          </w:p>
        </w:tc>
      </w:tr>
      <w:tr>
        <w:tblPrEx>
          <w:tblCellMar>
            <w:top w:w="24" w:type="dxa"/>
            <w:left w:w="29" w:type="dxa"/>
            <w:bottom w:w="18" w:type="dxa"/>
            <w:right w:w="52" w:type="dxa"/>
          </w:tblCellMar>
        </w:tblPrEx>
        <w:trPr>
          <w:trHeight w:val="502" w:hRule="atLeast"/>
        </w:trPr>
        <w:tc>
          <w:tcPr>
            <w:tcW w:w="662" w:type="dxa"/>
            <w:tcBorders>
              <w:top w:val="nil"/>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131</w:t>
            </w:r>
          </w:p>
        </w:tc>
        <w:tc>
          <w:tcPr>
            <w:tcW w:w="7687" w:type="dxa"/>
            <w:tcBorders>
              <w:top w:val="nil"/>
              <w:left w:val="single" w:color="000000" w:sz="8" w:space="0"/>
              <w:bottom w:val="single" w:color="000000" w:sz="8" w:space="0"/>
              <w:right w:val="single" w:color="000000" w:sz="8" w:space="0"/>
            </w:tcBorders>
          </w:tcPr>
          <w:p>
            <w:pPr>
              <w:spacing w:after="0"/>
              <w:jc w:val="center"/>
            </w:pPr>
            <w:r>
              <w:rPr>
                <w:rFonts w:ascii="宋体" w:hAnsi="宋体" w:eastAsia="宋体" w:cs="宋体"/>
                <w:sz w:val="16"/>
              </w:rPr>
              <w:t>设计单位未按照民用建筑节能强制性标准进行设计，或者使用列入禁止使用目录的技术、工艺、材料和设备的处罚</w:t>
            </w:r>
          </w:p>
        </w:tc>
        <w:tc>
          <w:tcPr>
            <w:tcW w:w="4766" w:type="dxa"/>
            <w:tcBorders>
              <w:top w:val="nil"/>
              <w:left w:val="single" w:color="000000" w:sz="8" w:space="0"/>
              <w:bottom w:val="single" w:color="000000" w:sz="8" w:space="0"/>
              <w:right w:val="single" w:color="000000" w:sz="8" w:space="0"/>
            </w:tcBorders>
            <w:vAlign w:val="center"/>
          </w:tcPr>
          <w:p>
            <w:pPr>
              <w:spacing w:after="0"/>
              <w:ind w:left="35"/>
              <w:jc w:val="center"/>
            </w:pPr>
            <w:r>
              <w:rPr>
                <w:rFonts w:ascii="宋体" w:hAnsi="宋体" w:eastAsia="宋体" w:cs="宋体"/>
                <w:sz w:val="16"/>
              </w:rPr>
              <w:t>《民用建筑节能条例》(国务院令第530号)</w:t>
            </w:r>
          </w:p>
        </w:tc>
        <w:tc>
          <w:tcPr>
            <w:tcW w:w="1565" w:type="dxa"/>
            <w:tcBorders>
              <w:top w:val="nil"/>
              <w:left w:val="single" w:color="000000" w:sz="8" w:space="0"/>
              <w:bottom w:val="single" w:color="000000" w:sz="8" w:space="0"/>
              <w:right w:val="single" w:color="000000" w:sz="8" w:space="0"/>
            </w:tcBorders>
          </w:tcPr>
          <w:p>
            <w:pPr>
              <w:spacing w:after="0"/>
            </w:pPr>
          </w:p>
        </w:tc>
        <w:tc>
          <w:tcPr>
            <w:tcW w:w="1094" w:type="dxa"/>
            <w:tcBorders>
              <w:top w:val="nil"/>
              <w:left w:val="single" w:color="000000" w:sz="8" w:space="0"/>
              <w:bottom w:val="single" w:color="000000" w:sz="8" w:space="0"/>
              <w:right w:val="single" w:color="000000" w:sz="8" w:space="0"/>
            </w:tcBorders>
          </w:tcPr>
          <w:p>
            <w:pPr>
              <w:spacing w:after="0"/>
            </w:pPr>
          </w:p>
        </w:tc>
      </w:tr>
      <w:tr>
        <w:tblPrEx>
          <w:tblCellMar>
            <w:top w:w="24" w:type="dxa"/>
            <w:left w:w="29" w:type="dxa"/>
            <w:bottom w:w="18" w:type="dxa"/>
            <w:right w:w="5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132</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施工单位未按照民用建筑节能强制性标准进行施工的处罚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5"/>
              <w:jc w:val="center"/>
            </w:pPr>
            <w:r>
              <w:rPr>
                <w:rFonts w:ascii="宋体" w:hAnsi="宋体" w:eastAsia="宋体" w:cs="宋体"/>
                <w:sz w:val="16"/>
              </w:rPr>
              <w:t>《民用建筑节能条例》(国务院令第530号)</w:t>
            </w:r>
          </w:p>
        </w:tc>
        <w:tc>
          <w:tcPr>
            <w:tcW w:w="1565" w:type="dxa"/>
            <w:vMerge w:val="restart"/>
            <w:tcBorders>
              <w:top w:val="single" w:color="000000" w:sz="8" w:space="0"/>
              <w:left w:val="single" w:color="000000" w:sz="8" w:space="0"/>
              <w:bottom w:val="single" w:color="000000" w:sz="8" w:space="0"/>
              <w:right w:val="single" w:color="000000" w:sz="8" w:space="0"/>
            </w:tcBorders>
            <w:vAlign w:val="center"/>
          </w:tcPr>
          <w:p>
            <w:pPr>
              <w:spacing w:after="0"/>
              <w:ind w:left="278"/>
            </w:pPr>
            <w:r>
              <w:rPr>
                <w:rFonts w:ascii="宋体" w:hAnsi="宋体" w:eastAsia="宋体" w:cs="宋体"/>
                <w:sz w:val="16"/>
              </w:rPr>
              <w:t>科技与标准科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4" w:type="dxa"/>
            <w:left w:w="29" w:type="dxa"/>
            <w:bottom w:w="18" w:type="dxa"/>
            <w:right w:w="5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133</w:t>
            </w:r>
          </w:p>
        </w:tc>
        <w:tc>
          <w:tcPr>
            <w:tcW w:w="7687" w:type="dxa"/>
            <w:tcBorders>
              <w:top w:val="single" w:color="000000" w:sz="8" w:space="0"/>
              <w:left w:val="single" w:color="000000" w:sz="8" w:space="0"/>
              <w:bottom w:val="single" w:color="000000" w:sz="8" w:space="0"/>
              <w:right w:val="single" w:color="000000" w:sz="8" w:space="0"/>
            </w:tcBorders>
          </w:tcPr>
          <w:p>
            <w:pPr>
              <w:spacing w:after="0"/>
              <w:ind w:left="41"/>
              <w:jc w:val="both"/>
            </w:pPr>
            <w:r>
              <w:rPr>
                <w:rFonts w:ascii="宋体" w:hAnsi="宋体" w:eastAsia="宋体" w:cs="宋体"/>
                <w:sz w:val="16"/>
              </w:rPr>
              <w:t>施工单位未对进入施工现场的墙体材料、保温材料、门窗、采暖制冷系统和照明设备进行查验；使用不符合</w:t>
            </w:r>
          </w:p>
          <w:p>
            <w:pPr>
              <w:spacing w:after="0"/>
              <w:jc w:val="center"/>
            </w:pPr>
            <w:r>
              <w:rPr>
                <w:rFonts w:ascii="宋体" w:hAnsi="宋体" w:eastAsia="宋体" w:cs="宋体"/>
                <w:sz w:val="16"/>
              </w:rPr>
              <w:t>施工图设计文件要求的墙体材料、保温材料、门窗、采暖制冷系统和照明设备；使用列入禁止使用目录的技术、工艺、材料和设备的处罚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5"/>
              <w:jc w:val="center"/>
            </w:pPr>
            <w:r>
              <w:rPr>
                <w:rFonts w:ascii="宋体" w:hAnsi="宋体" w:eastAsia="宋体" w:cs="宋体"/>
                <w:sz w:val="16"/>
              </w:rPr>
              <w:t>《民用建筑节能条例》(国务院令第530号)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4" w:type="dxa"/>
            <w:left w:w="29" w:type="dxa"/>
            <w:bottom w:w="18" w:type="dxa"/>
            <w:right w:w="5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134</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工程监理单位未按照民用建筑节能强制性标准实施监理；墙体、屋面的保温工程施工时，未采取旁站、巡视和平行检验等形式实施监理的处罚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5"/>
              <w:jc w:val="center"/>
            </w:pPr>
            <w:r>
              <w:rPr>
                <w:rFonts w:ascii="宋体" w:hAnsi="宋体" w:eastAsia="宋体" w:cs="宋体"/>
                <w:sz w:val="16"/>
              </w:rPr>
              <w:t>《民用建筑节能条例》(国务院令第530号)</w:t>
            </w:r>
          </w:p>
        </w:tc>
        <w:tc>
          <w:tcPr>
            <w:tcW w:w="0" w:type="auto"/>
            <w:vMerge w:val="continue"/>
            <w:tcBorders>
              <w:top w:val="nil"/>
              <w:left w:val="single" w:color="000000" w:sz="8" w:space="0"/>
              <w:bottom w:val="single" w:color="000000" w:sz="8" w:space="0"/>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4" w:type="dxa"/>
            <w:left w:w="29" w:type="dxa"/>
            <w:bottom w:w="18" w:type="dxa"/>
            <w:right w:w="5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135</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房地产开发企业销售商品房，未向购买人明示所售商品房的能源消耗指标、节能措施和保护要求、保温工程保修期等信息，或者向购买人明示的所售商品房能源消耗指标与实际能源消耗不符的</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5"/>
              <w:jc w:val="center"/>
            </w:pPr>
            <w:r>
              <w:rPr>
                <w:rFonts w:ascii="宋体" w:hAnsi="宋体" w:eastAsia="宋体" w:cs="宋体"/>
                <w:sz w:val="16"/>
              </w:rPr>
              <w:t>《民用建筑节能条例》(国务院令第530号)</w:t>
            </w:r>
          </w:p>
        </w:tc>
        <w:tc>
          <w:tcPr>
            <w:tcW w:w="1565" w:type="dxa"/>
            <w:vMerge w:val="restart"/>
            <w:tcBorders>
              <w:top w:val="single" w:color="000000" w:sz="8" w:space="0"/>
              <w:left w:val="single" w:color="000000" w:sz="8" w:space="0"/>
              <w:bottom w:val="nil"/>
              <w:right w:val="single" w:color="000000" w:sz="8" w:space="0"/>
            </w:tcBorders>
            <w:vAlign w:val="bottom"/>
          </w:tcPr>
          <w:p>
            <w:pPr>
              <w:spacing w:after="0"/>
              <w:ind w:left="278"/>
            </w:pPr>
            <w:r>
              <w:rPr>
                <w:rFonts w:ascii="宋体" w:hAnsi="宋体" w:eastAsia="宋体" w:cs="宋体"/>
                <w:sz w:val="16"/>
              </w:rPr>
              <w:t>科技与标准科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4" w:type="dxa"/>
            <w:left w:w="29" w:type="dxa"/>
            <w:bottom w:w="18" w:type="dxa"/>
            <w:right w:w="5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136</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注册执业人员未执行民用建筑节能强制性标准的处罚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5"/>
              <w:jc w:val="center"/>
            </w:pPr>
            <w:r>
              <w:rPr>
                <w:rFonts w:ascii="宋体" w:hAnsi="宋体" w:eastAsia="宋体" w:cs="宋体"/>
                <w:sz w:val="16"/>
              </w:rPr>
              <w:t>《民用建筑节能条例》(国务院令第530号)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4" w:type="dxa"/>
            <w:left w:w="29" w:type="dxa"/>
            <w:bottom w:w="18" w:type="dxa"/>
            <w:right w:w="52" w:type="dxa"/>
          </w:tblCellMar>
        </w:tblPrEx>
        <w:trPr>
          <w:trHeight w:val="116" w:hRule="atLeast"/>
        </w:trPr>
        <w:tc>
          <w:tcPr>
            <w:tcW w:w="662" w:type="dxa"/>
            <w:tcBorders>
              <w:top w:val="single" w:color="000000" w:sz="8" w:space="0"/>
              <w:left w:val="single" w:color="000000" w:sz="8" w:space="0"/>
              <w:bottom w:val="nil"/>
              <w:right w:val="single" w:color="000000" w:sz="8" w:space="0"/>
            </w:tcBorders>
          </w:tcPr>
          <w:p>
            <w:pPr>
              <w:spacing w:after="0"/>
            </w:pPr>
          </w:p>
        </w:tc>
        <w:tc>
          <w:tcPr>
            <w:tcW w:w="7687" w:type="dxa"/>
            <w:tcBorders>
              <w:top w:val="single" w:color="000000" w:sz="8" w:space="0"/>
              <w:left w:val="single" w:color="000000" w:sz="8" w:space="0"/>
              <w:bottom w:val="nil"/>
              <w:right w:val="single" w:color="000000" w:sz="8" w:space="0"/>
            </w:tcBorders>
          </w:tcPr>
          <w:p>
            <w:pPr>
              <w:spacing w:after="0"/>
            </w:pPr>
          </w:p>
        </w:tc>
        <w:tc>
          <w:tcPr>
            <w:tcW w:w="4766" w:type="dxa"/>
            <w:tcBorders>
              <w:top w:val="single" w:color="000000" w:sz="8" w:space="0"/>
              <w:left w:val="single" w:color="000000" w:sz="8" w:space="0"/>
              <w:bottom w:val="nil"/>
              <w:right w:val="single" w:color="000000" w:sz="8" w:space="0"/>
            </w:tcBorders>
          </w:tcPr>
          <w:p>
            <w:pPr>
              <w:spacing w:after="0"/>
            </w:pP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nil"/>
              <w:right w:val="single" w:color="000000" w:sz="8" w:space="0"/>
            </w:tcBorders>
          </w:tcPr>
          <w:p>
            <w:pPr>
              <w:spacing w:after="0"/>
            </w:pPr>
          </w:p>
        </w:tc>
      </w:tr>
      <w:tr>
        <w:tblPrEx>
          <w:tblCellMar>
            <w:top w:w="24" w:type="dxa"/>
            <w:left w:w="29" w:type="dxa"/>
            <w:bottom w:w="18" w:type="dxa"/>
            <w:right w:w="52" w:type="dxa"/>
          </w:tblCellMar>
        </w:tblPrEx>
        <w:trPr>
          <w:trHeight w:val="503" w:hRule="atLeast"/>
        </w:trPr>
        <w:tc>
          <w:tcPr>
            <w:tcW w:w="662" w:type="dxa"/>
            <w:tcBorders>
              <w:top w:val="nil"/>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137</w:t>
            </w:r>
          </w:p>
        </w:tc>
        <w:tc>
          <w:tcPr>
            <w:tcW w:w="7687" w:type="dxa"/>
            <w:tcBorders>
              <w:top w:val="nil"/>
              <w:left w:val="single" w:color="000000" w:sz="8" w:space="0"/>
              <w:bottom w:val="single" w:color="000000" w:sz="8" w:space="0"/>
              <w:right w:val="single" w:color="000000" w:sz="8" w:space="0"/>
            </w:tcBorders>
          </w:tcPr>
          <w:p>
            <w:pPr>
              <w:spacing w:after="0"/>
              <w:jc w:val="center"/>
            </w:pPr>
            <w:r>
              <w:rPr>
                <w:rFonts w:ascii="宋体" w:hAnsi="宋体" w:eastAsia="宋体" w:cs="宋体"/>
                <w:sz w:val="16"/>
              </w:rPr>
              <w:t>建设单位未按照建筑节能强制性标准委托设计，擅自修改节能设计文件，明示或暗示设计单位、施工单位违反建筑节能设计强制性标准，降低工程建设质量的处罚</w:t>
            </w:r>
          </w:p>
        </w:tc>
        <w:tc>
          <w:tcPr>
            <w:tcW w:w="4766" w:type="dxa"/>
            <w:tcBorders>
              <w:top w:val="nil"/>
              <w:left w:val="single" w:color="000000" w:sz="8" w:space="0"/>
              <w:bottom w:val="single" w:color="000000" w:sz="8" w:space="0"/>
              <w:right w:val="single" w:color="000000" w:sz="8" w:space="0"/>
            </w:tcBorders>
            <w:vAlign w:val="center"/>
          </w:tcPr>
          <w:p>
            <w:pPr>
              <w:spacing w:after="0"/>
              <w:ind w:left="36"/>
              <w:jc w:val="center"/>
            </w:pPr>
            <w:r>
              <w:rPr>
                <w:rFonts w:ascii="宋体" w:hAnsi="宋体" w:eastAsia="宋体" w:cs="宋体"/>
                <w:sz w:val="16"/>
              </w:rPr>
              <w:t>《民用建筑节能管理规定》（建设部令第143号）</w:t>
            </w:r>
          </w:p>
        </w:tc>
        <w:tc>
          <w:tcPr>
            <w:tcW w:w="1565" w:type="dxa"/>
            <w:vMerge w:val="restart"/>
            <w:tcBorders>
              <w:top w:val="nil"/>
              <w:left w:val="single" w:color="000000" w:sz="8" w:space="0"/>
              <w:bottom w:val="single" w:color="000000" w:sz="8" w:space="0"/>
              <w:right w:val="single" w:color="000000" w:sz="8" w:space="0"/>
            </w:tcBorders>
          </w:tcPr>
          <w:p>
            <w:pPr>
              <w:spacing w:after="0"/>
            </w:pPr>
          </w:p>
        </w:tc>
        <w:tc>
          <w:tcPr>
            <w:tcW w:w="1094" w:type="dxa"/>
            <w:tcBorders>
              <w:top w:val="nil"/>
              <w:left w:val="single" w:color="000000" w:sz="8" w:space="0"/>
              <w:bottom w:val="single" w:color="000000" w:sz="8" w:space="0"/>
              <w:right w:val="single" w:color="000000" w:sz="8" w:space="0"/>
            </w:tcBorders>
          </w:tcPr>
          <w:p>
            <w:pPr>
              <w:spacing w:after="0"/>
            </w:pPr>
          </w:p>
        </w:tc>
      </w:tr>
      <w:tr>
        <w:tblPrEx>
          <w:tblCellMar>
            <w:top w:w="24" w:type="dxa"/>
            <w:left w:w="29" w:type="dxa"/>
            <w:bottom w:w="18" w:type="dxa"/>
            <w:right w:w="5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138</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7"/>
              <w:jc w:val="center"/>
            </w:pPr>
            <w:r>
              <w:rPr>
                <w:rFonts w:ascii="宋体" w:hAnsi="宋体" w:eastAsia="宋体" w:cs="宋体"/>
                <w:sz w:val="16"/>
              </w:rPr>
              <w:t>设计单位未按照建筑节能强制性标准进行设计，应当修改设计而未修改的处罚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6"/>
              <w:jc w:val="center"/>
            </w:pPr>
            <w:r>
              <w:rPr>
                <w:rFonts w:ascii="宋体" w:hAnsi="宋体" w:eastAsia="宋体" w:cs="宋体"/>
                <w:sz w:val="16"/>
              </w:rPr>
              <w:t>《民用建筑节能管理规定》（建设部令第143号）</w:t>
            </w:r>
          </w:p>
        </w:tc>
        <w:tc>
          <w:tcPr>
            <w:tcW w:w="0" w:type="auto"/>
            <w:vMerge w:val="continue"/>
            <w:tcBorders>
              <w:top w:val="nil"/>
              <w:left w:val="single" w:color="000000" w:sz="8" w:space="0"/>
              <w:bottom w:val="single" w:color="000000" w:sz="8" w:space="0"/>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4" w:type="dxa"/>
            <w:left w:w="29" w:type="dxa"/>
            <w:bottom w:w="18" w:type="dxa"/>
            <w:right w:w="52" w:type="dxa"/>
          </w:tblCellMar>
        </w:tblPrEx>
        <w:trPr>
          <w:trHeight w:val="562"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139</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pPr>
            <w:r>
              <w:rPr>
                <w:rFonts w:ascii="宋体" w:hAnsi="宋体" w:eastAsia="宋体" w:cs="宋体"/>
                <w:sz w:val="16"/>
              </w:rPr>
              <w:t>必须进行招标的项目而不招标的，将必须进行招标的项目化整为零或者以其他任何方式规避招标</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9"/>
              <w:jc w:val="center"/>
            </w:pPr>
            <w:r>
              <w:rPr>
                <w:rFonts w:ascii="宋体" w:hAnsi="宋体" w:eastAsia="宋体" w:cs="宋体"/>
                <w:sz w:val="16"/>
              </w:rPr>
              <w:t>《中华人民共和国招标投标法》（主席令第21号）</w:t>
            </w:r>
          </w:p>
        </w:tc>
        <w:tc>
          <w:tcPr>
            <w:tcW w:w="1565" w:type="dxa"/>
            <w:vMerge w:val="restart"/>
            <w:tcBorders>
              <w:top w:val="single" w:color="000000" w:sz="8" w:space="0"/>
              <w:left w:val="single" w:color="000000" w:sz="8" w:space="0"/>
              <w:bottom w:val="single" w:color="000000" w:sz="8" w:space="0"/>
              <w:right w:val="single" w:color="000000" w:sz="8" w:space="0"/>
            </w:tcBorders>
            <w:vAlign w:val="center"/>
          </w:tcPr>
          <w:p>
            <w:pPr>
              <w:spacing w:after="0"/>
              <w:ind w:left="199"/>
            </w:pPr>
            <w:r>
              <w:rPr>
                <w:rFonts w:ascii="宋体" w:hAnsi="宋体" w:eastAsia="宋体" w:cs="宋体"/>
                <w:sz w:val="16"/>
              </w:rPr>
              <w:t>建筑市场管理科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4" w:type="dxa"/>
            <w:left w:w="29" w:type="dxa"/>
            <w:bottom w:w="18" w:type="dxa"/>
            <w:right w:w="52" w:type="dxa"/>
          </w:tblCellMar>
        </w:tblPrEx>
        <w:trPr>
          <w:trHeight w:val="754"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140</w:t>
            </w:r>
          </w:p>
        </w:tc>
        <w:tc>
          <w:tcPr>
            <w:tcW w:w="7687" w:type="dxa"/>
            <w:tcBorders>
              <w:top w:val="single" w:color="000000" w:sz="8" w:space="0"/>
              <w:left w:val="single" w:color="000000" w:sz="8" w:space="0"/>
              <w:bottom w:val="single" w:color="000000" w:sz="8" w:space="0"/>
              <w:right w:val="single" w:color="000000" w:sz="8" w:space="0"/>
            </w:tcBorders>
          </w:tcPr>
          <w:p>
            <w:pPr>
              <w:spacing w:after="0"/>
              <w:jc w:val="center"/>
            </w:pPr>
            <w:r>
              <w:rPr>
                <w:rFonts w:ascii="宋体" w:hAnsi="宋体" w:eastAsia="宋体" w:cs="宋体"/>
                <w:sz w:val="16"/>
              </w:rPr>
              <w:t>招标代理机构泄露应当保密的与招标投标活动有关的情况和资料，或与招标人、投标人串通；招标代理机构在所代理的招标项目中投标、代理投标、或者为该项目投标人提供咨询；接受委托编制标底的中介机构参加受托编制标底项目的投标或者为该项目的投标人编制投标文件、提供咨询</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9"/>
              <w:jc w:val="center"/>
            </w:pPr>
            <w:r>
              <w:rPr>
                <w:rFonts w:ascii="宋体" w:hAnsi="宋体" w:eastAsia="宋体" w:cs="宋体"/>
                <w:sz w:val="16"/>
              </w:rPr>
              <w:t>《中华人民共和国招标投标法》（主席令第21号）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4" w:type="dxa"/>
            <w:left w:w="29" w:type="dxa"/>
            <w:bottom w:w="18" w:type="dxa"/>
            <w:right w:w="5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141</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招标人以不合理的条件限制或者排斥潜在投标人；对潜在投标人实行歧视待遇；强制要求投标人组成联合体共同投标，或者限制投标人之间竞争的处罚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9"/>
              <w:jc w:val="center"/>
            </w:pPr>
            <w:r>
              <w:rPr>
                <w:rFonts w:ascii="宋体" w:hAnsi="宋体" w:eastAsia="宋体" w:cs="宋体"/>
                <w:sz w:val="16"/>
              </w:rPr>
              <w:t>《中华人民共和国招标投标法》（主席令第21号）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4" w:type="dxa"/>
            <w:left w:w="29" w:type="dxa"/>
            <w:bottom w:w="18" w:type="dxa"/>
            <w:right w:w="5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142</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依法必须进行招标的项目的招标人向他人透露已获取招标文件的潜在投标人的名称、数量或者可能影响公平竞的有关招标投标的其他情况或者泄露标底的处罚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9"/>
              <w:jc w:val="center"/>
            </w:pPr>
            <w:r>
              <w:rPr>
                <w:rFonts w:ascii="宋体" w:hAnsi="宋体" w:eastAsia="宋体" w:cs="宋体"/>
                <w:sz w:val="16"/>
              </w:rPr>
              <w:t>《中华人民共和国招标投标法》（主席令第21号）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4" w:type="dxa"/>
            <w:left w:w="29" w:type="dxa"/>
            <w:bottom w:w="18" w:type="dxa"/>
            <w:right w:w="5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41"/>
              <w:jc w:val="center"/>
            </w:pPr>
            <w:r>
              <w:rPr>
                <w:rFonts w:ascii="宋体" w:hAnsi="宋体" w:eastAsia="宋体" w:cs="宋体"/>
                <w:sz w:val="16"/>
              </w:rPr>
              <w:t>143</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投标人相互串通投标或者与招标人串通投标的，投标人以向招标人或者评标委员会成员行贿的手段谋取中标的处罚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9"/>
              <w:jc w:val="center"/>
            </w:pPr>
            <w:r>
              <w:rPr>
                <w:rFonts w:ascii="宋体" w:hAnsi="宋体" w:eastAsia="宋体" w:cs="宋体"/>
                <w:sz w:val="16"/>
              </w:rPr>
              <w:t>《中华人民共和国招标投标法》（主席令第21号）</w:t>
            </w:r>
          </w:p>
        </w:tc>
        <w:tc>
          <w:tcPr>
            <w:tcW w:w="0" w:type="auto"/>
            <w:vMerge w:val="continue"/>
            <w:tcBorders>
              <w:top w:val="nil"/>
              <w:left w:val="single" w:color="000000" w:sz="8" w:space="0"/>
              <w:bottom w:val="single" w:color="000000" w:sz="8" w:space="0"/>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bl>
    <w:p>
      <w:pPr>
        <w:spacing w:after="0"/>
        <w:ind w:left="-1440" w:right="15394"/>
      </w:pPr>
    </w:p>
    <w:tbl>
      <w:tblPr>
        <w:tblStyle w:val="7"/>
        <w:tblW w:w="15775" w:type="dxa"/>
        <w:tblInd w:w="-1080" w:type="dxa"/>
        <w:tblLayout w:type="autofit"/>
        <w:tblCellMar>
          <w:top w:w="106" w:type="dxa"/>
          <w:left w:w="70" w:type="dxa"/>
          <w:bottom w:w="0" w:type="dxa"/>
          <w:right w:w="52" w:type="dxa"/>
        </w:tblCellMar>
      </w:tblPr>
      <w:tblGrid>
        <w:gridCol w:w="662"/>
        <w:gridCol w:w="7687"/>
        <w:gridCol w:w="4766"/>
        <w:gridCol w:w="1565"/>
        <w:gridCol w:w="1095"/>
      </w:tblGrid>
      <w:tr>
        <w:tblPrEx>
          <w:tblCellMar>
            <w:top w:w="106" w:type="dxa"/>
            <w:left w:w="70" w:type="dxa"/>
            <w:bottom w:w="0" w:type="dxa"/>
            <w:right w:w="52" w:type="dxa"/>
          </w:tblCellMar>
        </w:tblPrEx>
        <w:trPr>
          <w:trHeight w:val="542"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08"/>
            </w:pPr>
            <w:r>
              <w:rPr>
                <w:rFonts w:ascii="黑体" w:hAnsi="黑体" w:eastAsia="黑体" w:cs="黑体"/>
                <w:sz w:val="16"/>
              </w:rPr>
              <w:t>序号</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right="5"/>
              <w:jc w:val="center"/>
            </w:pPr>
            <w:r>
              <w:rPr>
                <w:rFonts w:ascii="黑体" w:hAnsi="黑体" w:eastAsia="黑体" w:cs="黑体"/>
                <w:sz w:val="16"/>
              </w:rPr>
              <w:t>违法行为</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3"/>
              <w:jc w:val="center"/>
            </w:pPr>
            <w:r>
              <w:rPr>
                <w:rFonts w:ascii="黑体" w:hAnsi="黑体" w:eastAsia="黑体" w:cs="黑体"/>
                <w:sz w:val="16"/>
              </w:rPr>
              <w:t>行政处罚实施依据</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right="2"/>
              <w:jc w:val="center"/>
            </w:pPr>
            <w:r>
              <w:rPr>
                <w:rFonts w:ascii="黑体" w:hAnsi="黑体" w:eastAsia="黑体" w:cs="黑体"/>
                <w:sz w:val="16"/>
              </w:rPr>
              <w:t>责任科室</w:t>
            </w:r>
          </w:p>
        </w:tc>
        <w:tc>
          <w:tcPr>
            <w:tcW w:w="1094" w:type="dxa"/>
            <w:tcBorders>
              <w:top w:val="single" w:color="000000" w:sz="8" w:space="0"/>
              <w:left w:val="single" w:color="000000" w:sz="8" w:space="0"/>
              <w:bottom w:val="single" w:color="000000" w:sz="8" w:space="0"/>
              <w:right w:val="single" w:color="000000" w:sz="8" w:space="0"/>
            </w:tcBorders>
            <w:vAlign w:val="center"/>
          </w:tcPr>
          <w:p>
            <w:pPr>
              <w:spacing w:after="0"/>
              <w:ind w:right="3"/>
              <w:jc w:val="center"/>
            </w:pPr>
            <w:r>
              <w:rPr>
                <w:rFonts w:ascii="黑体" w:hAnsi="黑体" w:eastAsia="黑体" w:cs="黑体"/>
                <w:sz w:val="16"/>
              </w:rPr>
              <w:t>备注</w:t>
            </w:r>
          </w:p>
        </w:tc>
      </w:tr>
      <w:tr>
        <w:tblPrEx>
          <w:tblCellMar>
            <w:top w:w="106" w:type="dxa"/>
            <w:left w:w="70" w:type="dxa"/>
            <w:bottom w:w="0" w:type="dxa"/>
            <w:right w:w="52" w:type="dxa"/>
          </w:tblCellMar>
        </w:tblPrEx>
        <w:trPr>
          <w:trHeight w:val="444"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144</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right="3"/>
              <w:jc w:val="center"/>
            </w:pPr>
            <w:r>
              <w:rPr>
                <w:rFonts w:ascii="宋体" w:hAnsi="宋体" w:eastAsia="宋体" w:cs="宋体"/>
                <w:sz w:val="16"/>
              </w:rPr>
              <w:t>投标人以他人名义投标或者以其他方式弄虚作假，骗取中标的处罚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2"/>
              <w:jc w:val="center"/>
            </w:pPr>
            <w:r>
              <w:rPr>
                <w:rFonts w:ascii="宋体" w:hAnsi="宋体" w:eastAsia="宋体" w:cs="宋体"/>
                <w:sz w:val="16"/>
              </w:rPr>
              <w:t>《中华人民共和国招标投标法》（主席令第21号）</w:t>
            </w:r>
          </w:p>
        </w:tc>
        <w:tc>
          <w:tcPr>
            <w:tcW w:w="1565" w:type="dxa"/>
            <w:vMerge w:val="restart"/>
            <w:tcBorders>
              <w:top w:val="single" w:color="000000" w:sz="8" w:space="0"/>
              <w:left w:val="single" w:color="000000" w:sz="8" w:space="0"/>
              <w:bottom w:val="single" w:color="000000" w:sz="8" w:space="0"/>
              <w:right w:val="single" w:color="000000" w:sz="8" w:space="0"/>
            </w:tcBorders>
            <w:vAlign w:val="center"/>
          </w:tcPr>
          <w:p>
            <w:pPr>
              <w:spacing w:after="0"/>
              <w:ind w:left="158"/>
            </w:pPr>
            <w:r>
              <w:rPr>
                <w:rFonts w:ascii="宋体" w:hAnsi="宋体" w:eastAsia="宋体" w:cs="宋体"/>
                <w:sz w:val="16"/>
              </w:rPr>
              <w:t>建筑市场管理科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106" w:type="dxa"/>
            <w:left w:w="70" w:type="dxa"/>
            <w:bottom w:w="0" w:type="dxa"/>
            <w:right w:w="52" w:type="dxa"/>
          </w:tblCellMar>
        </w:tblPrEx>
        <w:trPr>
          <w:trHeight w:val="523"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145</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right="3"/>
              <w:jc w:val="center"/>
            </w:pPr>
            <w:r>
              <w:rPr>
                <w:rFonts w:ascii="宋体" w:hAnsi="宋体" w:eastAsia="宋体" w:cs="宋体"/>
                <w:sz w:val="16"/>
              </w:rPr>
              <w:t>依法必须进行招标的项目，招标人与投标人就投标价格、投标方案等实质性内容进行谈判的处罚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2"/>
              <w:jc w:val="center"/>
            </w:pPr>
            <w:r>
              <w:rPr>
                <w:rFonts w:ascii="宋体" w:hAnsi="宋体" w:eastAsia="宋体" w:cs="宋体"/>
                <w:sz w:val="16"/>
              </w:rPr>
              <w:t>《中华人民共和国招标投标法》（主席令第21号）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106" w:type="dxa"/>
            <w:left w:w="70" w:type="dxa"/>
            <w:bottom w:w="0" w:type="dxa"/>
            <w:right w:w="5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146</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评标委员会成员收受投标人的财物或者其他好处的，评标委员会成员或者参加评标的有关工作人员向他人透露对投标文件的评审和比较、中标候选人的推荐以及与评标有关的其他情况的处罚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2"/>
              <w:jc w:val="center"/>
            </w:pPr>
            <w:r>
              <w:rPr>
                <w:rFonts w:ascii="宋体" w:hAnsi="宋体" w:eastAsia="宋体" w:cs="宋体"/>
                <w:sz w:val="16"/>
              </w:rPr>
              <w:t>《中华人民共和国招标投标法》（主席令第21号）</w:t>
            </w:r>
          </w:p>
        </w:tc>
        <w:tc>
          <w:tcPr>
            <w:tcW w:w="0" w:type="auto"/>
            <w:vMerge w:val="continue"/>
            <w:tcBorders>
              <w:top w:val="nil"/>
              <w:left w:val="single" w:color="000000" w:sz="8" w:space="0"/>
              <w:bottom w:val="single" w:color="000000" w:sz="8" w:space="0"/>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106" w:type="dxa"/>
            <w:left w:w="70" w:type="dxa"/>
            <w:bottom w:w="0" w:type="dxa"/>
            <w:right w:w="5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147</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招标人在评标委员会依法推荐的中标候选人以外确定中标人，依法必须进行招标的项目在所有投标被评标委员会否决后自行确定中标人的处罚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2"/>
              <w:jc w:val="center"/>
            </w:pPr>
            <w:r>
              <w:rPr>
                <w:rFonts w:ascii="宋体" w:hAnsi="宋体" w:eastAsia="宋体" w:cs="宋体"/>
                <w:sz w:val="16"/>
              </w:rPr>
              <w:t>《中华人民共和国招标投标法》（主席令第21号）</w:t>
            </w:r>
          </w:p>
        </w:tc>
        <w:tc>
          <w:tcPr>
            <w:tcW w:w="1565" w:type="dxa"/>
            <w:vMerge w:val="restart"/>
            <w:tcBorders>
              <w:top w:val="single" w:color="000000" w:sz="8" w:space="0"/>
              <w:left w:val="single" w:color="000000" w:sz="8" w:space="0"/>
              <w:bottom w:val="single" w:color="000000" w:sz="8" w:space="0"/>
              <w:right w:val="single" w:color="000000" w:sz="8" w:space="0"/>
            </w:tcBorders>
            <w:vAlign w:val="center"/>
          </w:tcPr>
          <w:p>
            <w:pPr>
              <w:spacing w:after="0"/>
              <w:ind w:left="158"/>
            </w:pPr>
            <w:r>
              <w:rPr>
                <w:rFonts w:ascii="宋体" w:hAnsi="宋体" w:eastAsia="宋体" w:cs="宋体"/>
                <w:sz w:val="16"/>
              </w:rPr>
              <w:t>建筑市场管理科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106" w:type="dxa"/>
            <w:left w:w="70" w:type="dxa"/>
            <w:bottom w:w="0" w:type="dxa"/>
            <w:right w:w="5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148</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中标人将中标项目转让给他人；将中标项目肢解后分别转让给他人；违反规定将中标项目的部分主体、关键性工作分包给他人；分包人再次分包的处罚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2"/>
              <w:jc w:val="center"/>
            </w:pPr>
            <w:r>
              <w:rPr>
                <w:rFonts w:ascii="宋体" w:hAnsi="宋体" w:eastAsia="宋体" w:cs="宋体"/>
                <w:sz w:val="16"/>
              </w:rPr>
              <w:t>《中华人民共和国招标投标法》（主席令第21号）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106" w:type="dxa"/>
            <w:left w:w="70" w:type="dxa"/>
            <w:bottom w:w="0" w:type="dxa"/>
            <w:right w:w="5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149</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招标人与中标人不按照招标文件和中标人的投标文件订立合同，或者招标人、中标人订立背离合同实质性内容的协议的处罚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2"/>
              <w:jc w:val="center"/>
            </w:pPr>
            <w:r>
              <w:rPr>
                <w:rFonts w:ascii="宋体" w:hAnsi="宋体" w:eastAsia="宋体" w:cs="宋体"/>
                <w:sz w:val="16"/>
              </w:rPr>
              <w:t>《中华人民共和国招标投标法》（主席令第21号）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106" w:type="dxa"/>
            <w:left w:w="70" w:type="dxa"/>
            <w:bottom w:w="0" w:type="dxa"/>
            <w:right w:w="5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150</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right="3"/>
              <w:jc w:val="center"/>
            </w:pPr>
            <w:r>
              <w:rPr>
                <w:rFonts w:ascii="宋体" w:hAnsi="宋体" w:eastAsia="宋体" w:cs="宋体"/>
                <w:sz w:val="16"/>
              </w:rPr>
              <w:t>中标人不履行与招标人订立的合同的处罚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2"/>
              <w:jc w:val="center"/>
            </w:pPr>
            <w:r>
              <w:rPr>
                <w:rFonts w:ascii="宋体" w:hAnsi="宋体" w:eastAsia="宋体" w:cs="宋体"/>
                <w:sz w:val="16"/>
              </w:rPr>
              <w:t>《中华人民共和国招标投标法》（主席令第21号）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106" w:type="dxa"/>
            <w:left w:w="70" w:type="dxa"/>
            <w:bottom w:w="0" w:type="dxa"/>
            <w:right w:w="52" w:type="dxa"/>
          </w:tblCellMar>
        </w:tblPrEx>
        <w:trPr>
          <w:trHeight w:val="754"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151</w:t>
            </w:r>
          </w:p>
        </w:tc>
        <w:tc>
          <w:tcPr>
            <w:tcW w:w="7687" w:type="dxa"/>
            <w:tcBorders>
              <w:top w:val="single" w:color="000000" w:sz="8" w:space="0"/>
              <w:left w:val="single" w:color="000000" w:sz="8" w:space="0"/>
              <w:bottom w:val="single" w:color="000000" w:sz="8" w:space="0"/>
              <w:right w:val="single" w:color="000000" w:sz="8" w:space="0"/>
            </w:tcBorders>
          </w:tcPr>
          <w:p>
            <w:pPr>
              <w:spacing w:after="0"/>
              <w:jc w:val="center"/>
            </w:pPr>
            <w:r>
              <w:rPr>
                <w:rFonts w:ascii="宋体" w:hAnsi="宋体" w:eastAsia="宋体" w:cs="宋体"/>
                <w:sz w:val="16"/>
              </w:rPr>
              <w:t>依法应当公开招标而采用邀请招标；招标文件、资格预审文件的发售、澄清、修改的时限，或者确定的提交资格预审申请文件、投标文件的时限不符合招标投标法和中华人民共和国招标投标法实施条例规定；接受未通过资格预审的单位或者个人参加投标；接受应当拒收的投标文件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106"/>
            </w:pPr>
            <w:r>
              <w:rPr>
                <w:rFonts w:ascii="宋体" w:hAnsi="宋体" w:eastAsia="宋体" w:cs="宋体"/>
                <w:sz w:val="16"/>
              </w:rPr>
              <w:t>《中华人民共和国招标投标法实施条例》（国务院令第613号）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106" w:type="dxa"/>
            <w:left w:w="70" w:type="dxa"/>
            <w:bottom w:w="0" w:type="dxa"/>
            <w:right w:w="5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152</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招标人超过《中华人民共和国招标投标法实施条例》规定的比例收取投标保证金、履约保证金或者不按照规定退还投标保证金及银行同期存款利息的处罚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106"/>
            </w:pPr>
            <w:r>
              <w:rPr>
                <w:rFonts w:ascii="宋体" w:hAnsi="宋体" w:eastAsia="宋体" w:cs="宋体"/>
                <w:sz w:val="16"/>
              </w:rPr>
              <w:t>《中华人民共和国招标投标法实施条例》（国务院令第613号）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106" w:type="dxa"/>
            <w:left w:w="70" w:type="dxa"/>
            <w:bottom w:w="0" w:type="dxa"/>
            <w:right w:w="5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153</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right="2"/>
              <w:jc w:val="center"/>
            </w:pPr>
            <w:r>
              <w:rPr>
                <w:rFonts w:ascii="宋体" w:hAnsi="宋体" w:eastAsia="宋体" w:cs="宋体"/>
                <w:sz w:val="16"/>
              </w:rPr>
              <w:t>不按照规定组建评标委员会，或者确定、更换评标委员会成员违法的处罚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106"/>
            </w:pPr>
            <w:r>
              <w:rPr>
                <w:rFonts w:ascii="宋体" w:hAnsi="宋体" w:eastAsia="宋体" w:cs="宋体"/>
                <w:sz w:val="16"/>
              </w:rPr>
              <w:t>《中华人民共和国招标投标法实施条例》（国务院令第613号）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106" w:type="dxa"/>
            <w:left w:w="70" w:type="dxa"/>
            <w:bottom w:w="0" w:type="dxa"/>
            <w:right w:w="52" w:type="dxa"/>
          </w:tblCellMar>
        </w:tblPrEx>
        <w:trPr>
          <w:trHeight w:val="967"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154</w:t>
            </w:r>
          </w:p>
        </w:tc>
        <w:tc>
          <w:tcPr>
            <w:tcW w:w="7687" w:type="dxa"/>
            <w:tcBorders>
              <w:top w:val="single" w:color="000000" w:sz="8" w:space="0"/>
              <w:left w:val="single" w:color="000000" w:sz="8" w:space="0"/>
              <w:bottom w:val="single" w:color="000000" w:sz="8" w:space="0"/>
              <w:right w:val="single" w:color="000000" w:sz="8" w:space="0"/>
            </w:tcBorders>
          </w:tcPr>
          <w:p>
            <w:pPr>
              <w:spacing w:after="0" w:line="233" w:lineRule="auto"/>
              <w:jc w:val="center"/>
            </w:pPr>
            <w:r>
              <w:rPr>
                <w:rFonts w:ascii="宋体" w:hAnsi="宋体" w:eastAsia="宋体" w:cs="宋体"/>
                <w:sz w:val="16"/>
              </w:rPr>
              <w:t>评标委员会成员应当回避而不回避；擅离职守；不按照招标文件规定的评标标准和方法评标；私下接触投标人；向招标人征询确定中标人的意向或者接受任何单位或者个人明示或者暗示提出的倾向或者排斥特定投标</w:t>
            </w:r>
          </w:p>
          <w:p>
            <w:pPr>
              <w:spacing w:after="0"/>
              <w:jc w:val="center"/>
            </w:pPr>
            <w:r>
              <w:rPr>
                <w:rFonts w:ascii="宋体" w:hAnsi="宋体" w:eastAsia="宋体" w:cs="宋体"/>
                <w:sz w:val="16"/>
              </w:rPr>
              <w:t>人的要求；对依法应当否决的投标不提出否决意见；暗示或者诱导投标人作出澄清、说明或者接受投标人主动提出的澄清、说明；其他不客观、不公正履行职务行为</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106"/>
            </w:pPr>
            <w:r>
              <w:rPr>
                <w:rFonts w:ascii="宋体" w:hAnsi="宋体" w:eastAsia="宋体" w:cs="宋体"/>
                <w:sz w:val="16"/>
              </w:rPr>
              <w:t>《中华人民共和国招标投标法实施条例》（国务院令第613号）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106" w:type="dxa"/>
            <w:left w:w="70" w:type="dxa"/>
            <w:bottom w:w="0" w:type="dxa"/>
            <w:right w:w="5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155</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招标人无正当理由不发出中标通知书；不按照规定确定中标人；中标通知书发出后无正当理由改变中标结果；无正当理由不与中标人订立合同；在订立合同时向中标人提出附加条件的处罚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106"/>
            </w:pPr>
            <w:r>
              <w:rPr>
                <w:rFonts w:ascii="宋体" w:hAnsi="宋体" w:eastAsia="宋体" w:cs="宋体"/>
                <w:sz w:val="16"/>
              </w:rPr>
              <w:t>《中华人民共和国招标投标法实施条例》（国务院令第613号）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106" w:type="dxa"/>
            <w:left w:w="70" w:type="dxa"/>
            <w:bottom w:w="0" w:type="dxa"/>
            <w:right w:w="5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156</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中标通知书发出后，中标人放弃中标项目；无正当理由不与招标人签订合同；在签订合同时向招标人提出附加条件或者更改合同实质性内容；拒不提交所要求的履约保证金的处罚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106"/>
            </w:pPr>
            <w:r>
              <w:rPr>
                <w:rFonts w:ascii="宋体" w:hAnsi="宋体" w:eastAsia="宋体" w:cs="宋体"/>
                <w:sz w:val="16"/>
              </w:rPr>
              <w:t>《中华人民共和国招标投标法实施条例》（国务院令第613号）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106" w:type="dxa"/>
            <w:left w:w="70" w:type="dxa"/>
            <w:bottom w:w="0" w:type="dxa"/>
            <w:right w:w="5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157</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right="1"/>
              <w:jc w:val="center"/>
            </w:pPr>
            <w:r>
              <w:rPr>
                <w:rFonts w:ascii="宋体" w:hAnsi="宋体" w:eastAsia="宋体" w:cs="宋体"/>
                <w:sz w:val="16"/>
              </w:rPr>
              <w:t>取得招标职业资格的专业人员违反国家有关规定办理招标业务的处罚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106"/>
            </w:pPr>
            <w:r>
              <w:rPr>
                <w:rFonts w:ascii="宋体" w:hAnsi="宋体" w:eastAsia="宋体" w:cs="宋体"/>
                <w:sz w:val="16"/>
              </w:rPr>
              <w:t>《中华人民共和国招标投标法实施条例》（国务院令第613号）</w:t>
            </w:r>
          </w:p>
        </w:tc>
        <w:tc>
          <w:tcPr>
            <w:tcW w:w="0" w:type="auto"/>
            <w:vMerge w:val="continue"/>
            <w:tcBorders>
              <w:top w:val="nil"/>
              <w:left w:val="single" w:color="000000" w:sz="8" w:space="0"/>
              <w:bottom w:val="single" w:color="000000" w:sz="8" w:space="0"/>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bl>
    <w:p>
      <w:pPr>
        <w:spacing w:after="0"/>
        <w:ind w:left="-1440" w:right="15394"/>
      </w:pPr>
    </w:p>
    <w:tbl>
      <w:tblPr>
        <w:tblStyle w:val="7"/>
        <w:tblW w:w="15775" w:type="dxa"/>
        <w:tblInd w:w="-1080" w:type="dxa"/>
        <w:tblLayout w:type="autofit"/>
        <w:tblCellMar>
          <w:top w:w="101" w:type="dxa"/>
          <w:left w:w="55" w:type="dxa"/>
          <w:bottom w:w="0" w:type="dxa"/>
          <w:right w:w="41" w:type="dxa"/>
        </w:tblCellMar>
      </w:tblPr>
      <w:tblGrid>
        <w:gridCol w:w="662"/>
        <w:gridCol w:w="7687"/>
        <w:gridCol w:w="4766"/>
        <w:gridCol w:w="1565"/>
        <w:gridCol w:w="1095"/>
      </w:tblGrid>
      <w:tr>
        <w:tblPrEx>
          <w:tblCellMar>
            <w:top w:w="101" w:type="dxa"/>
            <w:left w:w="55" w:type="dxa"/>
            <w:bottom w:w="0" w:type="dxa"/>
            <w:right w:w="41" w:type="dxa"/>
          </w:tblCellMar>
        </w:tblPrEx>
        <w:trPr>
          <w:trHeight w:val="542"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23"/>
            </w:pPr>
            <w:r>
              <w:rPr>
                <w:rFonts w:ascii="黑体" w:hAnsi="黑体" w:eastAsia="黑体" w:cs="黑体"/>
                <w:sz w:val="16"/>
              </w:rPr>
              <w:t>序号</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right="1"/>
              <w:jc w:val="center"/>
            </w:pPr>
            <w:r>
              <w:rPr>
                <w:rFonts w:ascii="黑体" w:hAnsi="黑体" w:eastAsia="黑体" w:cs="黑体"/>
                <w:sz w:val="16"/>
              </w:rPr>
              <w:t>违法行为</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1"/>
              <w:jc w:val="center"/>
            </w:pPr>
            <w:r>
              <w:rPr>
                <w:rFonts w:ascii="黑体" w:hAnsi="黑体" w:eastAsia="黑体" w:cs="黑体"/>
                <w:sz w:val="16"/>
              </w:rPr>
              <w:t>行政处罚实施依据</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2"/>
              <w:jc w:val="center"/>
            </w:pPr>
            <w:r>
              <w:rPr>
                <w:rFonts w:ascii="黑体" w:hAnsi="黑体" w:eastAsia="黑体" w:cs="黑体"/>
                <w:sz w:val="16"/>
              </w:rPr>
              <w:t>责任科室</w:t>
            </w:r>
          </w:p>
        </w:tc>
        <w:tc>
          <w:tcPr>
            <w:tcW w:w="1094" w:type="dxa"/>
            <w:tcBorders>
              <w:top w:val="single" w:color="000000" w:sz="8" w:space="0"/>
              <w:left w:val="single" w:color="000000" w:sz="8" w:space="0"/>
              <w:bottom w:val="single" w:color="000000" w:sz="8" w:space="0"/>
              <w:right w:val="single" w:color="000000" w:sz="8" w:space="0"/>
            </w:tcBorders>
            <w:vAlign w:val="center"/>
          </w:tcPr>
          <w:p>
            <w:pPr>
              <w:spacing w:after="0"/>
              <w:ind w:left="1"/>
              <w:jc w:val="center"/>
            </w:pPr>
            <w:r>
              <w:rPr>
                <w:rFonts w:ascii="黑体" w:hAnsi="黑体" w:eastAsia="黑体" w:cs="黑体"/>
                <w:sz w:val="16"/>
              </w:rPr>
              <w:t>备注</w:t>
            </w:r>
          </w:p>
        </w:tc>
      </w:tr>
      <w:tr>
        <w:tblPrEx>
          <w:tblCellMar>
            <w:top w:w="101" w:type="dxa"/>
            <w:left w:w="55" w:type="dxa"/>
            <w:bottom w:w="0" w:type="dxa"/>
            <w:right w:w="41"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
              <w:jc w:val="center"/>
            </w:pPr>
            <w:r>
              <w:rPr>
                <w:rFonts w:ascii="宋体" w:hAnsi="宋体" w:eastAsia="宋体" w:cs="宋体"/>
                <w:sz w:val="16"/>
              </w:rPr>
              <w:t>158</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招标人在发布招标公告、发出投标邀请书或者发放招标文件后无正当理由终止招标，给潜在投标人或者投标人造成损失的处罚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《河南省实施&lt;中华人民共和国招标投标法&gt;办法》（河南省人民代表大会常务委员会公告第58号公布）</w:t>
            </w:r>
          </w:p>
        </w:tc>
        <w:tc>
          <w:tcPr>
            <w:tcW w:w="1565" w:type="dxa"/>
            <w:vMerge w:val="restart"/>
            <w:tcBorders>
              <w:top w:val="single" w:color="000000" w:sz="8" w:space="0"/>
              <w:left w:val="single" w:color="000000" w:sz="8" w:space="0"/>
              <w:bottom w:val="single" w:color="000000" w:sz="8" w:space="0"/>
              <w:right w:val="single" w:color="000000" w:sz="8" w:space="0"/>
            </w:tcBorders>
            <w:vAlign w:val="center"/>
          </w:tcPr>
          <w:p>
            <w:pPr>
              <w:spacing w:after="0"/>
              <w:ind w:left="173"/>
            </w:pPr>
            <w:r>
              <w:rPr>
                <w:rFonts w:ascii="宋体" w:hAnsi="宋体" w:eastAsia="宋体" w:cs="宋体"/>
                <w:sz w:val="16"/>
              </w:rPr>
              <w:t>建筑市场管理科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101" w:type="dxa"/>
            <w:left w:w="55" w:type="dxa"/>
            <w:bottom w:w="0" w:type="dxa"/>
            <w:right w:w="41"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
              <w:jc w:val="center"/>
            </w:pPr>
            <w:r>
              <w:rPr>
                <w:rFonts w:ascii="宋体" w:hAnsi="宋体" w:eastAsia="宋体" w:cs="宋体"/>
                <w:sz w:val="16"/>
              </w:rPr>
              <w:t>159</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招标代理机构伪造、涂改、转让资格证书，或者超越资质等级从事招标代理业务的处罚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《河南省实施&lt;中华人民共和国招标投标法&gt;办法》（河南省人民代表大会常务委员会公告第58号公布）</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101" w:type="dxa"/>
            <w:left w:w="55" w:type="dxa"/>
            <w:bottom w:w="0" w:type="dxa"/>
            <w:right w:w="41"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
              <w:jc w:val="center"/>
            </w:pPr>
            <w:r>
              <w:rPr>
                <w:rFonts w:ascii="宋体" w:hAnsi="宋体" w:eastAsia="宋体" w:cs="宋体"/>
                <w:sz w:val="16"/>
              </w:rPr>
              <w:t>160</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
              <w:jc w:val="center"/>
            </w:pPr>
            <w:r>
              <w:rPr>
                <w:rFonts w:ascii="宋体" w:hAnsi="宋体" w:eastAsia="宋体" w:cs="宋体"/>
                <w:sz w:val="16"/>
              </w:rPr>
              <w:t>招标人不具备自行办理施工招标事宜条件而自行招标的处罚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《房屋建筑和市政基础设施工程施工招标投标管理办法》（建设部令第89号）</w:t>
            </w:r>
          </w:p>
        </w:tc>
        <w:tc>
          <w:tcPr>
            <w:tcW w:w="0" w:type="auto"/>
            <w:vMerge w:val="continue"/>
            <w:tcBorders>
              <w:top w:val="nil"/>
              <w:left w:val="single" w:color="000000" w:sz="8" w:space="0"/>
              <w:bottom w:val="single" w:color="000000" w:sz="8" w:space="0"/>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101" w:type="dxa"/>
            <w:left w:w="55" w:type="dxa"/>
            <w:bottom w:w="0" w:type="dxa"/>
            <w:right w:w="41" w:type="dxa"/>
          </w:tblCellMar>
        </w:tblPrEx>
        <w:trPr>
          <w:trHeight w:val="1375"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
              <w:jc w:val="center"/>
            </w:pPr>
            <w:r>
              <w:rPr>
                <w:rFonts w:ascii="宋体" w:hAnsi="宋体" w:eastAsia="宋体" w:cs="宋体"/>
                <w:sz w:val="16"/>
              </w:rPr>
              <w:t>161</w:t>
            </w:r>
          </w:p>
        </w:tc>
        <w:tc>
          <w:tcPr>
            <w:tcW w:w="7687" w:type="dxa"/>
            <w:tcBorders>
              <w:top w:val="single" w:color="000000" w:sz="8" w:space="0"/>
              <w:left w:val="single" w:color="000000" w:sz="8" w:space="0"/>
              <w:bottom w:val="single" w:color="000000" w:sz="8" w:space="0"/>
              <w:right w:val="single" w:color="000000" w:sz="8" w:space="0"/>
            </w:tcBorders>
          </w:tcPr>
          <w:p>
            <w:pPr>
              <w:spacing w:after="0" w:line="232" w:lineRule="auto"/>
              <w:ind w:left="14" w:right="11"/>
              <w:jc w:val="both"/>
            </w:pPr>
            <w:r>
              <w:rPr>
                <w:rFonts w:ascii="宋体" w:hAnsi="宋体" w:eastAsia="宋体" w:cs="宋体"/>
                <w:sz w:val="16"/>
              </w:rPr>
              <w:t>未按照规定设置安全生产管理机构或者配备安全生产管理人员、注册安全工程师的；危险物品的生产、经营、储存、装卸单位以及矿山、金属冶炼、建筑施工、运输单位的主要负责人和安全生产管理人员未按照规定经考核合格的；未按照规定对从业人员、被派遣劳动者、实习学生进行安全生产教育和培训，或者未按照规定如实告知有关的安全生产事项的；未如实记录安全生产教育和培训情况的；未将事故隐患排查治理情况如</w:t>
            </w:r>
          </w:p>
          <w:p>
            <w:pPr>
              <w:spacing w:after="0"/>
              <w:jc w:val="center"/>
            </w:pPr>
            <w:r>
              <w:rPr>
                <w:rFonts w:ascii="宋体" w:hAnsi="宋体" w:eastAsia="宋体" w:cs="宋体"/>
                <w:sz w:val="16"/>
              </w:rPr>
              <w:t>实记录或者未向从业人员通报的；未按照规定制定生产安全事故应急救援预案或者未定期组织演练的；特种作业人员未按照规定经专门的安全作业培训并取得相应资格，上岗作业的行政处罚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1"/>
              <w:jc w:val="center"/>
            </w:pPr>
            <w:r>
              <w:rPr>
                <w:rFonts w:ascii="宋体" w:hAnsi="宋体" w:eastAsia="宋体" w:cs="宋体"/>
                <w:sz w:val="16"/>
              </w:rPr>
              <w:t>《中华人民共和国安全生产法》</w:t>
            </w:r>
          </w:p>
        </w:tc>
        <w:tc>
          <w:tcPr>
            <w:tcW w:w="1565" w:type="dxa"/>
            <w:vMerge w:val="restart"/>
            <w:tcBorders>
              <w:top w:val="single" w:color="000000" w:sz="8" w:space="0"/>
              <w:left w:val="single" w:color="000000" w:sz="8" w:space="0"/>
              <w:bottom w:val="single" w:color="000000" w:sz="8" w:space="0"/>
              <w:right w:val="single" w:color="000000" w:sz="8" w:space="0"/>
            </w:tcBorders>
            <w:vAlign w:val="center"/>
          </w:tcPr>
          <w:p>
            <w:pPr>
              <w:spacing w:after="0"/>
              <w:ind w:left="12"/>
              <w:jc w:val="both"/>
            </w:pPr>
            <w:r>
              <w:rPr>
                <w:rFonts w:ascii="宋体" w:hAnsi="宋体" w:eastAsia="宋体" w:cs="宋体"/>
                <w:sz w:val="16"/>
              </w:rPr>
              <w:t>工程质量安全管理科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101" w:type="dxa"/>
            <w:left w:w="55" w:type="dxa"/>
            <w:bottom w:w="0" w:type="dxa"/>
            <w:right w:w="41" w:type="dxa"/>
          </w:tblCellMar>
        </w:tblPrEx>
        <w:trPr>
          <w:trHeight w:val="1548"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
              <w:jc w:val="center"/>
            </w:pPr>
            <w:r>
              <w:rPr>
                <w:rFonts w:ascii="宋体" w:hAnsi="宋体" w:eastAsia="宋体" w:cs="宋体"/>
                <w:sz w:val="16"/>
              </w:rPr>
              <w:t>162</w:t>
            </w:r>
          </w:p>
        </w:tc>
        <w:tc>
          <w:tcPr>
            <w:tcW w:w="7687" w:type="dxa"/>
            <w:tcBorders>
              <w:top w:val="single" w:color="000000" w:sz="8" w:space="0"/>
              <w:left w:val="single" w:color="000000" w:sz="8" w:space="0"/>
              <w:bottom w:val="single" w:color="000000" w:sz="8" w:space="0"/>
              <w:right w:val="single" w:color="000000" w:sz="8" w:space="0"/>
            </w:tcBorders>
          </w:tcPr>
          <w:p>
            <w:pPr>
              <w:spacing w:after="0" w:line="232" w:lineRule="auto"/>
              <w:jc w:val="center"/>
            </w:pPr>
            <w:r>
              <w:rPr>
                <w:rFonts w:ascii="宋体" w:hAnsi="宋体" w:eastAsia="宋体" w:cs="宋体"/>
                <w:sz w:val="16"/>
              </w:rPr>
              <w:t>未在有较大危险因素的生产经营场所和有关设施、设备上设置明显的安全警示标志的；安全设备的安装、使用、检测、改造和报废不符合国家标准或者行业标准的；未对安全设备进行经常性维护、保养和定期检测的；未对安全设备进行经常性维护、保养和定期检测的；关闭、破坏直接关系生产安全的监控、报警、防护、救生设备、设施，或者篡改、隐瞒、销毁其相关数据、信息的；未为从业人员提供符合国家标准或者行业标准的劳动防护用品的；危险物品的容器、运输工具，以及涉及人身安全、危险性较大的海洋石油开采特种</w:t>
            </w:r>
          </w:p>
          <w:p>
            <w:pPr>
              <w:spacing w:after="0"/>
              <w:jc w:val="center"/>
            </w:pPr>
            <w:r>
              <w:rPr>
                <w:rFonts w:ascii="宋体" w:hAnsi="宋体" w:eastAsia="宋体" w:cs="宋体"/>
                <w:sz w:val="16"/>
              </w:rPr>
              <w:t>设备和矿山井下特种设备未经具有专业资质的机构检测、检验合格，取得安全使用证或者安全标志，投入使用的；使用应当淘汰的危及生产安全的工艺、设备的行政处罚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1"/>
              <w:jc w:val="center"/>
            </w:pPr>
            <w:r>
              <w:rPr>
                <w:rFonts w:ascii="宋体" w:hAnsi="宋体" w:eastAsia="宋体" w:cs="宋体"/>
                <w:sz w:val="16"/>
              </w:rPr>
              <w:t>《中华人民共和国安全生产法》</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101" w:type="dxa"/>
            <w:left w:w="55" w:type="dxa"/>
            <w:bottom w:w="0" w:type="dxa"/>
            <w:right w:w="41"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
              <w:jc w:val="center"/>
            </w:pPr>
            <w:r>
              <w:rPr>
                <w:rFonts w:ascii="宋体" w:hAnsi="宋体" w:eastAsia="宋体" w:cs="宋体"/>
                <w:sz w:val="16"/>
              </w:rPr>
              <w:t>163</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未取得安全生产许可证擅自进行生产；接受转让的安全生产许可证、冒用安全生产许可证或者使用伪造的安全生产许可证的处罚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2"/>
              <w:jc w:val="center"/>
            </w:pPr>
            <w:r>
              <w:rPr>
                <w:rFonts w:ascii="宋体" w:hAnsi="宋体" w:eastAsia="宋体" w:cs="宋体"/>
                <w:sz w:val="16"/>
              </w:rPr>
              <w:t>《安全生产许可证条例》（国务院令第397号）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101" w:type="dxa"/>
            <w:left w:w="55" w:type="dxa"/>
            <w:bottom w:w="0" w:type="dxa"/>
            <w:right w:w="41"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
              <w:jc w:val="center"/>
            </w:pPr>
            <w:r>
              <w:rPr>
                <w:rFonts w:ascii="宋体" w:hAnsi="宋体" w:eastAsia="宋体" w:cs="宋体"/>
                <w:sz w:val="16"/>
              </w:rPr>
              <w:t>164</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1"/>
              <w:jc w:val="center"/>
            </w:pPr>
            <w:r>
              <w:rPr>
                <w:rFonts w:ascii="宋体" w:hAnsi="宋体" w:eastAsia="宋体" w:cs="宋体"/>
                <w:sz w:val="16"/>
              </w:rPr>
              <w:t>安全生产许可证有效期满未办理延期手续，继续进行生产的处罚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2"/>
              <w:jc w:val="center"/>
            </w:pPr>
            <w:r>
              <w:rPr>
                <w:rFonts w:ascii="宋体" w:hAnsi="宋体" w:eastAsia="宋体" w:cs="宋体"/>
                <w:sz w:val="16"/>
              </w:rPr>
              <w:t>《安全生产许可证条例》（国务院令第397号）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101" w:type="dxa"/>
            <w:left w:w="55" w:type="dxa"/>
            <w:bottom w:w="0" w:type="dxa"/>
            <w:right w:w="41"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
              <w:jc w:val="center"/>
            </w:pPr>
            <w:r>
              <w:rPr>
                <w:rFonts w:ascii="宋体" w:hAnsi="宋体" w:eastAsia="宋体" w:cs="宋体"/>
                <w:sz w:val="16"/>
              </w:rPr>
              <w:t>165</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right="1"/>
              <w:jc w:val="center"/>
            </w:pPr>
            <w:r>
              <w:rPr>
                <w:rFonts w:ascii="宋体" w:hAnsi="宋体" w:eastAsia="宋体" w:cs="宋体"/>
                <w:sz w:val="16"/>
              </w:rPr>
              <w:t>转让安全生产许可证的处罚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2"/>
              <w:jc w:val="center"/>
            </w:pPr>
            <w:r>
              <w:rPr>
                <w:rFonts w:ascii="宋体" w:hAnsi="宋体" w:eastAsia="宋体" w:cs="宋体"/>
                <w:sz w:val="16"/>
              </w:rPr>
              <w:t>《安全生产许可证条例》（国务院令第397号）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101" w:type="dxa"/>
            <w:left w:w="55" w:type="dxa"/>
            <w:bottom w:w="0" w:type="dxa"/>
            <w:right w:w="41"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
              <w:jc w:val="center"/>
            </w:pPr>
            <w:r>
              <w:rPr>
                <w:rFonts w:ascii="宋体" w:hAnsi="宋体" w:eastAsia="宋体" w:cs="宋体"/>
                <w:sz w:val="16"/>
              </w:rPr>
              <w:t>166</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生产经营单位未将生产安全事故应急救援预案报送备案、未建立应急值班制度或者配备应急值班人员的行政处罚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1"/>
              <w:jc w:val="center"/>
            </w:pPr>
            <w:r>
              <w:rPr>
                <w:rFonts w:ascii="宋体" w:hAnsi="宋体" w:eastAsia="宋体" w:cs="宋体"/>
                <w:sz w:val="16"/>
              </w:rPr>
              <w:t>《生产安全事故应急条例》</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101" w:type="dxa"/>
            <w:left w:w="55" w:type="dxa"/>
            <w:bottom w:w="0" w:type="dxa"/>
            <w:right w:w="41"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
              <w:jc w:val="center"/>
            </w:pPr>
            <w:r>
              <w:rPr>
                <w:rFonts w:ascii="宋体" w:hAnsi="宋体" w:eastAsia="宋体" w:cs="宋体"/>
                <w:sz w:val="16"/>
              </w:rPr>
              <w:t>167</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建设单位对勘察、设计、施工、工程监理等单位提出不符合安全生产法律、法规和强制性标准规定的要求；要求施工单位压缩合同约定的工期；将拆除工程发包给不具有相应资质等级的施工单位</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1"/>
              <w:jc w:val="center"/>
            </w:pPr>
            <w:r>
              <w:rPr>
                <w:rFonts w:ascii="宋体" w:hAnsi="宋体" w:eastAsia="宋体" w:cs="宋体"/>
                <w:sz w:val="16"/>
              </w:rPr>
              <w:t>《建设工程安全生产管理条例》（国务院令第393号）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101" w:type="dxa"/>
            <w:left w:w="55" w:type="dxa"/>
            <w:bottom w:w="0" w:type="dxa"/>
            <w:right w:w="41" w:type="dxa"/>
          </w:tblCellMar>
        </w:tblPrEx>
        <w:trPr>
          <w:trHeight w:val="773"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
              <w:jc w:val="center"/>
            </w:pPr>
            <w:r>
              <w:rPr>
                <w:rFonts w:ascii="宋体" w:hAnsi="宋体" w:eastAsia="宋体" w:cs="宋体"/>
                <w:sz w:val="16"/>
              </w:rPr>
              <w:t>168</w:t>
            </w:r>
          </w:p>
        </w:tc>
        <w:tc>
          <w:tcPr>
            <w:tcW w:w="7687" w:type="dxa"/>
            <w:tcBorders>
              <w:top w:val="single" w:color="000000" w:sz="8" w:space="0"/>
              <w:left w:val="single" w:color="000000" w:sz="8" w:space="0"/>
              <w:bottom w:val="single" w:color="000000" w:sz="8" w:space="0"/>
              <w:right w:val="single" w:color="000000" w:sz="8" w:space="0"/>
            </w:tcBorders>
          </w:tcPr>
          <w:p>
            <w:pPr>
              <w:spacing w:after="0"/>
              <w:ind w:left="14"/>
              <w:jc w:val="both"/>
            </w:pPr>
            <w:r>
              <w:rPr>
                <w:rFonts w:ascii="宋体" w:hAnsi="宋体" w:eastAsia="宋体" w:cs="宋体"/>
                <w:sz w:val="16"/>
              </w:rPr>
              <w:t>勘察单位、设计单位未按照法律、法规和工程建设强制性标准进行勘察、设计；采用新结构、新材料、新工</w:t>
            </w:r>
          </w:p>
          <w:p>
            <w:pPr>
              <w:spacing w:after="0"/>
              <w:jc w:val="center"/>
            </w:pPr>
            <w:r>
              <w:rPr>
                <w:rFonts w:ascii="宋体" w:hAnsi="宋体" w:eastAsia="宋体" w:cs="宋体"/>
                <w:sz w:val="16"/>
              </w:rPr>
              <w:t>艺的建设工程和特殊结构的建设工程，设计单位未在设计中提出保障施工作业人员安全和预防生产安全事故的措施建议的处罚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1"/>
              <w:jc w:val="center"/>
            </w:pPr>
            <w:r>
              <w:rPr>
                <w:rFonts w:ascii="宋体" w:hAnsi="宋体" w:eastAsia="宋体" w:cs="宋体"/>
                <w:sz w:val="16"/>
              </w:rPr>
              <w:t>《建设工程安全生产管理条例》（国务院令第393号）</w:t>
            </w:r>
          </w:p>
        </w:tc>
        <w:tc>
          <w:tcPr>
            <w:tcW w:w="0" w:type="auto"/>
            <w:vMerge w:val="continue"/>
            <w:tcBorders>
              <w:top w:val="nil"/>
              <w:left w:val="single" w:color="000000" w:sz="8" w:space="0"/>
              <w:bottom w:val="single" w:color="000000" w:sz="8" w:space="0"/>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bl>
    <w:p>
      <w:pPr>
        <w:spacing w:after="0"/>
        <w:ind w:left="-1440" w:right="15394"/>
      </w:pPr>
    </w:p>
    <w:tbl>
      <w:tblPr>
        <w:tblStyle w:val="7"/>
        <w:tblW w:w="15775" w:type="dxa"/>
        <w:tblInd w:w="-1080" w:type="dxa"/>
        <w:tblLayout w:type="autofit"/>
        <w:tblCellMar>
          <w:top w:w="63" w:type="dxa"/>
          <w:left w:w="67" w:type="dxa"/>
          <w:bottom w:w="0" w:type="dxa"/>
          <w:right w:w="50" w:type="dxa"/>
        </w:tblCellMar>
      </w:tblPr>
      <w:tblGrid>
        <w:gridCol w:w="662"/>
        <w:gridCol w:w="7687"/>
        <w:gridCol w:w="4766"/>
        <w:gridCol w:w="1565"/>
        <w:gridCol w:w="1095"/>
      </w:tblGrid>
      <w:tr>
        <w:tblPrEx>
          <w:tblCellMar>
            <w:top w:w="63" w:type="dxa"/>
            <w:left w:w="67" w:type="dxa"/>
            <w:bottom w:w="0" w:type="dxa"/>
            <w:right w:w="50" w:type="dxa"/>
          </w:tblCellMar>
        </w:tblPrEx>
        <w:trPr>
          <w:trHeight w:val="542"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11"/>
            </w:pPr>
            <w:r>
              <w:rPr>
                <w:rFonts w:ascii="黑体" w:hAnsi="黑体" w:eastAsia="黑体" w:cs="黑体"/>
                <w:sz w:val="16"/>
              </w:rPr>
              <w:t>序号</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right="4"/>
              <w:jc w:val="center"/>
            </w:pPr>
            <w:r>
              <w:rPr>
                <w:rFonts w:ascii="黑体" w:hAnsi="黑体" w:eastAsia="黑体" w:cs="黑体"/>
                <w:sz w:val="16"/>
              </w:rPr>
              <w:t>违法行为</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2"/>
              <w:jc w:val="center"/>
            </w:pPr>
            <w:r>
              <w:rPr>
                <w:rFonts w:ascii="黑体" w:hAnsi="黑体" w:eastAsia="黑体" w:cs="黑体"/>
                <w:sz w:val="16"/>
              </w:rPr>
              <w:t>行政处罚实施依据</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right="1"/>
              <w:jc w:val="center"/>
            </w:pPr>
            <w:r>
              <w:rPr>
                <w:rFonts w:ascii="黑体" w:hAnsi="黑体" w:eastAsia="黑体" w:cs="黑体"/>
                <w:sz w:val="16"/>
              </w:rPr>
              <w:t>责任科室</w:t>
            </w:r>
          </w:p>
        </w:tc>
        <w:tc>
          <w:tcPr>
            <w:tcW w:w="1094" w:type="dxa"/>
            <w:tcBorders>
              <w:top w:val="single" w:color="000000" w:sz="8" w:space="0"/>
              <w:left w:val="single" w:color="000000" w:sz="8" w:space="0"/>
              <w:bottom w:val="single" w:color="000000" w:sz="8" w:space="0"/>
              <w:right w:val="single" w:color="000000" w:sz="8" w:space="0"/>
            </w:tcBorders>
            <w:vAlign w:val="center"/>
          </w:tcPr>
          <w:p>
            <w:pPr>
              <w:spacing w:after="0"/>
              <w:ind w:right="2"/>
              <w:jc w:val="center"/>
            </w:pPr>
            <w:r>
              <w:rPr>
                <w:rFonts w:ascii="黑体" w:hAnsi="黑体" w:eastAsia="黑体" w:cs="黑体"/>
                <w:sz w:val="16"/>
              </w:rPr>
              <w:t>备注</w:t>
            </w:r>
          </w:p>
        </w:tc>
      </w:tr>
      <w:tr>
        <w:tblPrEx>
          <w:tblCellMar>
            <w:top w:w="63" w:type="dxa"/>
            <w:left w:w="67" w:type="dxa"/>
            <w:bottom w:w="0" w:type="dxa"/>
            <w:right w:w="50" w:type="dxa"/>
          </w:tblCellMar>
        </w:tblPrEx>
        <w:trPr>
          <w:trHeight w:val="773"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169</w:t>
            </w:r>
          </w:p>
        </w:tc>
        <w:tc>
          <w:tcPr>
            <w:tcW w:w="7687" w:type="dxa"/>
            <w:tcBorders>
              <w:top w:val="single" w:color="000000" w:sz="8" w:space="0"/>
              <w:left w:val="single" w:color="000000" w:sz="8" w:space="0"/>
              <w:bottom w:val="single" w:color="000000" w:sz="8" w:space="0"/>
              <w:right w:val="single" w:color="000000" w:sz="8" w:space="0"/>
            </w:tcBorders>
          </w:tcPr>
          <w:p>
            <w:pPr>
              <w:spacing w:after="0"/>
              <w:jc w:val="center"/>
            </w:pPr>
            <w:r>
              <w:rPr>
                <w:rFonts w:ascii="宋体" w:hAnsi="宋体" w:eastAsia="宋体" w:cs="宋体"/>
                <w:sz w:val="16"/>
              </w:rPr>
              <w:t>工程监理单位未对施工组织设计中的安全技术措施或者专项施工方案进行审查；发现安全事故隐患未及时要求施工单位整改或者暂时停止施工；施工单位拒不整改或者不停止施工，未及时向有关主管部门报告；未依照法律、法规和工程建设强制性标准实施监理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2"/>
              <w:jc w:val="center"/>
            </w:pPr>
            <w:r>
              <w:rPr>
                <w:rFonts w:ascii="宋体" w:hAnsi="宋体" w:eastAsia="宋体" w:cs="宋体"/>
                <w:sz w:val="16"/>
              </w:rPr>
              <w:t>《建设工程安全生产管理条例》（国务院令第393号）</w:t>
            </w:r>
          </w:p>
        </w:tc>
        <w:tc>
          <w:tcPr>
            <w:tcW w:w="1565" w:type="dxa"/>
            <w:vMerge w:val="restart"/>
            <w:tcBorders>
              <w:top w:val="single" w:color="000000" w:sz="8" w:space="0"/>
              <w:left w:val="single" w:color="000000" w:sz="8" w:space="0"/>
              <w:bottom w:val="single" w:color="000000" w:sz="8" w:space="0"/>
              <w:right w:val="single" w:color="000000" w:sz="8" w:space="0"/>
            </w:tcBorders>
            <w:vAlign w:val="center"/>
          </w:tcPr>
          <w:p>
            <w:pPr>
              <w:spacing w:after="0"/>
              <w:jc w:val="both"/>
            </w:pPr>
            <w:r>
              <w:rPr>
                <w:rFonts w:ascii="宋体" w:hAnsi="宋体" w:eastAsia="宋体" w:cs="宋体"/>
                <w:sz w:val="16"/>
              </w:rPr>
              <w:t>工程质量安全管理科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63" w:type="dxa"/>
            <w:left w:w="67" w:type="dxa"/>
            <w:bottom w:w="0" w:type="dxa"/>
            <w:right w:w="50"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170</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right="3"/>
              <w:jc w:val="center"/>
            </w:pPr>
            <w:r>
              <w:rPr>
                <w:rFonts w:ascii="宋体" w:hAnsi="宋体" w:eastAsia="宋体" w:cs="宋体"/>
                <w:sz w:val="16"/>
              </w:rPr>
              <w:t>注册执业人员未执行法律、法规和工程建设强制性标准的处罚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2"/>
              <w:jc w:val="center"/>
            </w:pPr>
            <w:r>
              <w:rPr>
                <w:rFonts w:ascii="宋体" w:hAnsi="宋体" w:eastAsia="宋体" w:cs="宋体"/>
                <w:sz w:val="16"/>
              </w:rPr>
              <w:t>《建设工程安全生产管理条例》（国务院令第393号）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63" w:type="dxa"/>
            <w:left w:w="67" w:type="dxa"/>
            <w:bottom w:w="0" w:type="dxa"/>
            <w:right w:w="50"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171</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为建设工程提供机械设备和配件的单位，未按照安全施工的要求配备齐全有效的保险、限位等安全设施和装置的处罚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2"/>
              <w:jc w:val="center"/>
            </w:pPr>
            <w:r>
              <w:rPr>
                <w:rFonts w:ascii="宋体" w:hAnsi="宋体" w:eastAsia="宋体" w:cs="宋体"/>
                <w:sz w:val="16"/>
              </w:rPr>
              <w:t>《建设工程安全生产管理条例》（国务院令第393号）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63" w:type="dxa"/>
            <w:left w:w="67" w:type="dxa"/>
            <w:bottom w:w="0" w:type="dxa"/>
            <w:right w:w="50"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172</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right="4"/>
              <w:jc w:val="center"/>
            </w:pPr>
            <w:r>
              <w:rPr>
                <w:rFonts w:ascii="宋体" w:hAnsi="宋体" w:eastAsia="宋体" w:cs="宋体"/>
                <w:sz w:val="16"/>
              </w:rPr>
              <w:t>出租单位出租未经安全性能检测或者经检测不合格的机械设备和施工机具及配件的处罚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2"/>
              <w:jc w:val="center"/>
            </w:pPr>
            <w:r>
              <w:rPr>
                <w:rFonts w:ascii="宋体" w:hAnsi="宋体" w:eastAsia="宋体" w:cs="宋体"/>
                <w:sz w:val="16"/>
              </w:rPr>
              <w:t>《建设工程安全生产管理条例》（国务院令第393号）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63" w:type="dxa"/>
            <w:left w:w="67" w:type="dxa"/>
            <w:bottom w:w="0" w:type="dxa"/>
            <w:right w:w="50" w:type="dxa"/>
          </w:tblCellMar>
        </w:tblPrEx>
        <w:trPr>
          <w:trHeight w:val="833"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173</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施工起重机械和整体提升脚手架、模板等自升式架设设施安装、拆卸单位未编制拆装方案、制定安全施工措施；未由专业技术人员现场监督；未出具自检合格证明或者出具虚假证明；未向施工单位进行安全使用说明，办理移交手续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2"/>
              <w:jc w:val="center"/>
            </w:pPr>
            <w:r>
              <w:rPr>
                <w:rFonts w:ascii="宋体" w:hAnsi="宋体" w:eastAsia="宋体" w:cs="宋体"/>
                <w:sz w:val="16"/>
              </w:rPr>
              <w:t>《建设工程安全生产管理条例》（国务院令第393号）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63" w:type="dxa"/>
            <w:left w:w="67" w:type="dxa"/>
            <w:bottom w:w="0" w:type="dxa"/>
            <w:right w:w="50"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174</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right="1"/>
              <w:jc w:val="center"/>
            </w:pPr>
            <w:r>
              <w:rPr>
                <w:rFonts w:ascii="宋体" w:hAnsi="宋体" w:eastAsia="宋体" w:cs="宋体"/>
                <w:sz w:val="16"/>
              </w:rPr>
              <w:t>施工单位挪用列入建设工程概算的安全生产作业环境及安全施工措施所需费用的处罚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2"/>
              <w:jc w:val="center"/>
            </w:pPr>
            <w:r>
              <w:rPr>
                <w:rFonts w:ascii="宋体" w:hAnsi="宋体" w:eastAsia="宋体" w:cs="宋体"/>
                <w:sz w:val="16"/>
              </w:rPr>
              <w:t>《建设工程安全生产管理条例》（国务院令第393号）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63" w:type="dxa"/>
            <w:left w:w="67" w:type="dxa"/>
            <w:bottom w:w="0" w:type="dxa"/>
            <w:right w:w="50" w:type="dxa"/>
          </w:tblCellMar>
        </w:tblPrEx>
        <w:trPr>
          <w:trHeight w:val="1006"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175</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1" w:line="232" w:lineRule="auto"/>
              <w:jc w:val="center"/>
            </w:pPr>
            <w:r>
              <w:rPr>
                <w:rFonts w:ascii="宋体" w:hAnsi="宋体" w:eastAsia="宋体" w:cs="宋体"/>
                <w:sz w:val="16"/>
              </w:rPr>
              <w:t>施工单位施工前未对有关安全施工的技术要求作出详细说明；未根据不同施工阶段和周围环境及季节、气候的变化，在施工现场采取相应的安全施工措施，或者在城市市区内的建设工程的施工现场未实行封闭围挡；</w:t>
            </w:r>
          </w:p>
          <w:p>
            <w:pPr>
              <w:spacing w:after="0"/>
              <w:jc w:val="center"/>
            </w:pPr>
            <w:r>
              <w:rPr>
                <w:rFonts w:ascii="宋体" w:hAnsi="宋体" w:eastAsia="宋体" w:cs="宋体"/>
                <w:sz w:val="16"/>
              </w:rPr>
              <w:t>在尚未竣工的建筑物内设置员工集体宿舍；施工现场临时搭建的建筑物不符合安全使用要求；未对因建设工程施工可能造成损害的毗邻建筑物、构筑物和地下管线等采取专项防护措施的处罚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2"/>
              <w:jc w:val="center"/>
            </w:pPr>
            <w:r>
              <w:rPr>
                <w:rFonts w:ascii="宋体" w:hAnsi="宋体" w:eastAsia="宋体" w:cs="宋体"/>
                <w:sz w:val="16"/>
              </w:rPr>
              <w:t>《建设工程安全生产管理条例》（国务院令第393号）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63" w:type="dxa"/>
            <w:left w:w="67" w:type="dxa"/>
            <w:bottom w:w="0" w:type="dxa"/>
            <w:right w:w="50" w:type="dxa"/>
          </w:tblCellMar>
        </w:tblPrEx>
        <w:trPr>
          <w:trHeight w:val="948"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176</w:t>
            </w:r>
          </w:p>
        </w:tc>
        <w:tc>
          <w:tcPr>
            <w:tcW w:w="7687" w:type="dxa"/>
            <w:tcBorders>
              <w:top w:val="single" w:color="000000" w:sz="8" w:space="0"/>
              <w:left w:val="single" w:color="000000" w:sz="8" w:space="0"/>
              <w:bottom w:val="single" w:color="000000" w:sz="8" w:space="0"/>
              <w:right w:val="single" w:color="000000" w:sz="8" w:space="0"/>
            </w:tcBorders>
          </w:tcPr>
          <w:p>
            <w:pPr>
              <w:spacing w:after="0"/>
              <w:jc w:val="center"/>
            </w:pPr>
            <w:r>
              <w:rPr>
                <w:rFonts w:ascii="宋体" w:hAnsi="宋体" w:eastAsia="宋体" w:cs="宋体"/>
                <w:sz w:val="16"/>
              </w:rPr>
              <w:t>安全防护用具、机械设备、施工机具及配件在进入施工现场前未经查验或者查验不合格即投入使用；使用未经验收或者验收不合格的施工起重机械和整体提升脚手架、模板等自升式架设设施；委托不具有相应资质的单位承担施工现场安装、拆卸施工起重机械和整体提升脚手架、模板等自升式架设设施；在施工组织设计中未编制安全技术措施、施工现场临时用电方案或者专项施工方案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2"/>
              <w:jc w:val="center"/>
            </w:pPr>
            <w:r>
              <w:rPr>
                <w:rFonts w:ascii="宋体" w:hAnsi="宋体" w:eastAsia="宋体" w:cs="宋体"/>
                <w:sz w:val="16"/>
              </w:rPr>
              <w:t>《建设工程安全生产管理条例》（国务院令第393号）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63" w:type="dxa"/>
            <w:left w:w="67" w:type="dxa"/>
            <w:bottom w:w="0" w:type="dxa"/>
            <w:right w:w="50"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177</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施工单位的主要负责人、项目负责人未履行安全生产管理职责的处罚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2"/>
              <w:jc w:val="center"/>
            </w:pPr>
            <w:r>
              <w:rPr>
                <w:rFonts w:ascii="宋体" w:hAnsi="宋体" w:eastAsia="宋体" w:cs="宋体"/>
                <w:sz w:val="16"/>
              </w:rPr>
              <w:t>《建设工程安全生产管理条例》（国务院令第393号）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63" w:type="dxa"/>
            <w:left w:w="67" w:type="dxa"/>
            <w:bottom w:w="0" w:type="dxa"/>
            <w:right w:w="50"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178</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right="1"/>
              <w:jc w:val="center"/>
            </w:pPr>
            <w:r>
              <w:rPr>
                <w:rFonts w:ascii="宋体" w:hAnsi="宋体" w:eastAsia="宋体" w:cs="宋体"/>
                <w:sz w:val="16"/>
              </w:rPr>
              <w:t>安全生产许可证有效期满未办理延期手续，继续从事建筑施工活动的处罚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105"/>
            </w:pPr>
            <w:r>
              <w:rPr>
                <w:rFonts w:ascii="宋体" w:hAnsi="宋体" w:eastAsia="宋体" w:cs="宋体"/>
                <w:sz w:val="16"/>
              </w:rPr>
              <w:t>《建筑施工企业安全生产许可证管理规定》(建设部令第128号)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63" w:type="dxa"/>
            <w:left w:w="67" w:type="dxa"/>
            <w:bottom w:w="0" w:type="dxa"/>
            <w:right w:w="50" w:type="dxa"/>
          </w:tblCellMar>
        </w:tblPrEx>
        <w:trPr>
          <w:trHeight w:val="1066"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179</w:t>
            </w:r>
          </w:p>
        </w:tc>
        <w:tc>
          <w:tcPr>
            <w:tcW w:w="7687" w:type="dxa"/>
            <w:tcBorders>
              <w:top w:val="single" w:color="000000" w:sz="8" w:space="0"/>
              <w:left w:val="single" w:color="000000" w:sz="8" w:space="0"/>
              <w:bottom w:val="single" w:color="000000" w:sz="8" w:space="0"/>
              <w:right w:val="single" w:color="000000" w:sz="8" w:space="0"/>
            </w:tcBorders>
          </w:tcPr>
          <w:p>
            <w:pPr>
              <w:spacing w:after="1" w:line="231" w:lineRule="auto"/>
              <w:jc w:val="center"/>
            </w:pPr>
            <w:r>
              <w:rPr>
                <w:rFonts w:ascii="宋体" w:hAnsi="宋体" w:eastAsia="宋体" w:cs="宋体"/>
                <w:sz w:val="16"/>
              </w:rPr>
              <w:t>安装单位未按照安全技术标准及安装使用说明书等检查建筑起重机械及现场施工条件；未制定建筑起重机械安装、拆卸工程生产安全事故应急救援预案；未将建筑起重机械安装、拆卸工程专项施工方案，安装、拆卸人员名单，安装、拆卸时间等材料报施工总承包单位和监理单位审核后，告知工程所在地县级以上地方人民</w:t>
            </w:r>
          </w:p>
          <w:p>
            <w:pPr>
              <w:spacing w:after="0"/>
              <w:jc w:val="center"/>
            </w:pPr>
            <w:r>
              <w:rPr>
                <w:rFonts w:ascii="宋体" w:hAnsi="宋体" w:eastAsia="宋体" w:cs="宋体"/>
                <w:sz w:val="16"/>
              </w:rPr>
              <w:t>政府建设主管部门；未按照规定建立建筑起重机械安装、拆卸工程档案；未按照建筑起重机械安装、拆卸工程专项施工方案及安全操作规程组织安装、拆卸作业的处罚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1"/>
              <w:jc w:val="center"/>
            </w:pPr>
            <w:r>
              <w:rPr>
                <w:rFonts w:ascii="宋体" w:hAnsi="宋体" w:eastAsia="宋体" w:cs="宋体"/>
                <w:sz w:val="16"/>
              </w:rPr>
              <w:t>《建筑起重机械安全监督管理规定》（建设部令第166号）</w:t>
            </w:r>
          </w:p>
        </w:tc>
        <w:tc>
          <w:tcPr>
            <w:tcW w:w="0" w:type="auto"/>
            <w:vMerge w:val="continue"/>
            <w:tcBorders>
              <w:top w:val="nil"/>
              <w:left w:val="single" w:color="000000" w:sz="8" w:space="0"/>
              <w:bottom w:val="single" w:color="000000" w:sz="8" w:space="0"/>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bl>
    <w:p>
      <w:pPr>
        <w:spacing w:after="0"/>
        <w:ind w:left="-1440" w:right="15394"/>
      </w:pPr>
    </w:p>
    <w:tbl>
      <w:tblPr>
        <w:tblStyle w:val="7"/>
        <w:tblW w:w="15775" w:type="dxa"/>
        <w:tblInd w:w="-1080" w:type="dxa"/>
        <w:tblLayout w:type="autofit"/>
        <w:tblCellMar>
          <w:top w:w="41" w:type="dxa"/>
          <w:left w:w="57" w:type="dxa"/>
          <w:bottom w:w="0" w:type="dxa"/>
          <w:right w:w="41" w:type="dxa"/>
        </w:tblCellMar>
      </w:tblPr>
      <w:tblGrid>
        <w:gridCol w:w="662"/>
        <w:gridCol w:w="7687"/>
        <w:gridCol w:w="4766"/>
        <w:gridCol w:w="1565"/>
        <w:gridCol w:w="1095"/>
      </w:tblGrid>
      <w:tr>
        <w:tblPrEx>
          <w:tblCellMar>
            <w:top w:w="41" w:type="dxa"/>
            <w:left w:w="57" w:type="dxa"/>
            <w:bottom w:w="0" w:type="dxa"/>
            <w:right w:w="41" w:type="dxa"/>
          </w:tblCellMar>
        </w:tblPrEx>
        <w:trPr>
          <w:trHeight w:val="542"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21"/>
            </w:pPr>
            <w:r>
              <w:rPr>
                <w:rFonts w:ascii="黑体" w:hAnsi="黑体" w:eastAsia="黑体" w:cs="黑体"/>
                <w:sz w:val="16"/>
              </w:rPr>
              <w:t>序号</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right="3"/>
              <w:jc w:val="center"/>
            </w:pPr>
            <w:r>
              <w:rPr>
                <w:rFonts w:ascii="黑体" w:hAnsi="黑体" w:eastAsia="黑体" w:cs="黑体"/>
                <w:sz w:val="16"/>
              </w:rPr>
              <w:t>违法行为</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1"/>
              <w:jc w:val="center"/>
            </w:pPr>
            <w:r>
              <w:rPr>
                <w:rFonts w:ascii="黑体" w:hAnsi="黑体" w:eastAsia="黑体" w:cs="黑体"/>
                <w:sz w:val="16"/>
              </w:rPr>
              <w:t>行政处罚实施依据</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黑体" w:hAnsi="黑体" w:eastAsia="黑体" w:cs="黑体"/>
                <w:sz w:val="16"/>
              </w:rPr>
              <w:t>责任科室</w:t>
            </w:r>
          </w:p>
        </w:tc>
        <w:tc>
          <w:tcPr>
            <w:tcW w:w="1094" w:type="dxa"/>
            <w:tcBorders>
              <w:top w:val="single" w:color="000000" w:sz="8" w:space="0"/>
              <w:left w:val="single" w:color="000000" w:sz="8" w:space="0"/>
              <w:bottom w:val="single" w:color="000000" w:sz="8" w:space="0"/>
              <w:right w:val="single" w:color="000000" w:sz="8" w:space="0"/>
            </w:tcBorders>
            <w:vAlign w:val="center"/>
          </w:tcPr>
          <w:p>
            <w:pPr>
              <w:spacing w:after="0"/>
              <w:ind w:right="1"/>
              <w:jc w:val="center"/>
            </w:pPr>
            <w:r>
              <w:rPr>
                <w:rFonts w:ascii="黑体" w:hAnsi="黑体" w:eastAsia="黑体" w:cs="黑体"/>
                <w:sz w:val="16"/>
              </w:rPr>
              <w:t>备注</w:t>
            </w:r>
          </w:p>
        </w:tc>
      </w:tr>
      <w:tr>
        <w:tblPrEx>
          <w:tblCellMar>
            <w:top w:w="41" w:type="dxa"/>
            <w:left w:w="57" w:type="dxa"/>
            <w:bottom w:w="0" w:type="dxa"/>
            <w:right w:w="41" w:type="dxa"/>
          </w:tblCellMar>
        </w:tblPrEx>
        <w:trPr>
          <w:trHeight w:val="1025"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
              <w:jc w:val="center"/>
            </w:pPr>
            <w:r>
              <w:rPr>
                <w:rFonts w:ascii="宋体" w:hAnsi="宋体" w:eastAsia="宋体" w:cs="宋体"/>
                <w:sz w:val="16"/>
              </w:rPr>
              <w:t>180</w:t>
            </w:r>
          </w:p>
        </w:tc>
        <w:tc>
          <w:tcPr>
            <w:tcW w:w="7687" w:type="dxa"/>
            <w:tcBorders>
              <w:top w:val="single" w:color="000000" w:sz="8" w:space="0"/>
              <w:left w:val="single" w:color="000000" w:sz="8" w:space="0"/>
              <w:bottom w:val="single" w:color="000000" w:sz="8" w:space="0"/>
              <w:right w:val="single" w:color="000000" w:sz="8" w:space="0"/>
            </w:tcBorders>
          </w:tcPr>
          <w:p>
            <w:pPr>
              <w:spacing w:after="0" w:line="232" w:lineRule="auto"/>
              <w:jc w:val="center"/>
            </w:pPr>
            <w:r>
              <w:rPr>
                <w:rFonts w:ascii="宋体" w:hAnsi="宋体" w:eastAsia="宋体" w:cs="宋体"/>
                <w:sz w:val="16"/>
              </w:rPr>
              <w:t>建筑起重机械使用单位未根据不同施工阶段、周围环境以及季节、气候的变化，对建筑起重机械采取相应的安全防护措施；未制定建筑起重机械生产安全事故应急救援预案；未设置相应的设备管理机构或者配备专职的设备管理人员；建筑起重机械出现故障或者发生异常情况的，未立即停止使用，消除故障和事故隐患；未</w:t>
            </w:r>
          </w:p>
          <w:p>
            <w:pPr>
              <w:spacing w:after="0"/>
              <w:jc w:val="center"/>
            </w:pPr>
            <w:r>
              <w:rPr>
                <w:rFonts w:ascii="宋体" w:hAnsi="宋体" w:eastAsia="宋体" w:cs="宋体"/>
                <w:sz w:val="16"/>
              </w:rPr>
              <w:t>指定专职设备管理人员进行现场监督检查；擅自在建筑起重机械上安装非原制造厂制造的标准节和附着装置的处罚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《建筑起重机械安全监督管理规定》（建设部令第166号）</w:t>
            </w:r>
          </w:p>
        </w:tc>
        <w:tc>
          <w:tcPr>
            <w:tcW w:w="1565" w:type="dxa"/>
            <w:vMerge w:val="restart"/>
            <w:tcBorders>
              <w:top w:val="single" w:color="000000" w:sz="8" w:space="0"/>
              <w:left w:val="single" w:color="000000" w:sz="8" w:space="0"/>
              <w:bottom w:val="single" w:color="000000" w:sz="8" w:space="0"/>
              <w:right w:val="single" w:color="000000" w:sz="8" w:space="0"/>
            </w:tcBorders>
            <w:vAlign w:val="center"/>
          </w:tcPr>
          <w:p>
            <w:pPr>
              <w:spacing w:after="0"/>
              <w:ind w:left="10"/>
              <w:jc w:val="both"/>
            </w:pPr>
            <w:r>
              <w:rPr>
                <w:rFonts w:ascii="宋体" w:hAnsi="宋体" w:eastAsia="宋体" w:cs="宋体"/>
                <w:sz w:val="16"/>
              </w:rPr>
              <w:t>工程质量安全管理科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41" w:type="dxa"/>
            <w:left w:w="57" w:type="dxa"/>
            <w:bottom w:w="0" w:type="dxa"/>
            <w:right w:w="41" w:type="dxa"/>
          </w:tblCellMar>
        </w:tblPrEx>
        <w:trPr>
          <w:trHeight w:val="1258"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
              <w:jc w:val="center"/>
            </w:pPr>
            <w:r>
              <w:rPr>
                <w:rFonts w:ascii="宋体" w:hAnsi="宋体" w:eastAsia="宋体" w:cs="宋体"/>
                <w:sz w:val="16"/>
              </w:rPr>
              <w:t>181</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施工总承包单位未向安装单位提供拟安装设备位置的基础施工资料，确保建筑起重机械进场安装、拆卸所需的施工条件；未审核安装单位、使用单位的资质证书、安全生产许可证和特种作业人员的特种作业操作资格证书；未审核安装单位制定的建筑起重机械安装、拆卸工程专项施工方案和生产安全事故应急救援预案；未审核使用单位制定的建筑起重机械生产安全事故应急救援预案；施工现场有多台塔式起重机作业时，未组织制定并实施防止塔式起重机相互碰撞的安全措施</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《建筑起重机械安全监督管理规定》（建设部令第166号）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41" w:type="dxa"/>
            <w:left w:w="57" w:type="dxa"/>
            <w:bottom w:w="0" w:type="dxa"/>
            <w:right w:w="41" w:type="dxa"/>
          </w:tblCellMar>
        </w:tblPrEx>
        <w:trPr>
          <w:trHeight w:val="910"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
              <w:jc w:val="center"/>
            </w:pPr>
            <w:r>
              <w:rPr>
                <w:rFonts w:ascii="宋体" w:hAnsi="宋体" w:eastAsia="宋体" w:cs="宋体"/>
                <w:sz w:val="16"/>
              </w:rPr>
              <w:t>182</w:t>
            </w:r>
          </w:p>
        </w:tc>
        <w:tc>
          <w:tcPr>
            <w:tcW w:w="7687" w:type="dxa"/>
            <w:tcBorders>
              <w:top w:val="single" w:color="000000" w:sz="8" w:space="0"/>
              <w:left w:val="single" w:color="000000" w:sz="8" w:space="0"/>
              <w:bottom w:val="single" w:color="000000" w:sz="8" w:space="0"/>
              <w:right w:val="single" w:color="000000" w:sz="8" w:space="0"/>
            </w:tcBorders>
          </w:tcPr>
          <w:p>
            <w:pPr>
              <w:spacing w:after="0"/>
              <w:jc w:val="center"/>
            </w:pPr>
            <w:r>
              <w:rPr>
                <w:rFonts w:ascii="宋体" w:hAnsi="宋体" w:eastAsia="宋体" w:cs="宋体"/>
                <w:sz w:val="16"/>
              </w:rPr>
              <w:t>监理单位未审核建筑起重机械特种设备制造许可证、产品合格证、制造监督检验证明、备案证明等文件；未审核建筑起重机械安装单位、使用单位的资质证书、安全生产许可证和特种作业人员的特种作业操作资格证书；未监督安装单位执行建筑起重机械安装、拆卸工程专项施工方案情况；未监督检查建筑起重机械的使用情况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《建筑起重机械安全监督管理规定》（建设部令第166号）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41" w:type="dxa"/>
            <w:left w:w="57" w:type="dxa"/>
            <w:bottom w:w="0" w:type="dxa"/>
            <w:right w:w="41"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
              <w:jc w:val="center"/>
            </w:pPr>
            <w:r>
              <w:rPr>
                <w:rFonts w:ascii="宋体" w:hAnsi="宋体" w:eastAsia="宋体" w:cs="宋体"/>
                <w:sz w:val="16"/>
              </w:rPr>
              <w:t>183</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建设单位未按照规定协调组织制定防止多台塔式起重机相互碰撞的安全措施；接到监理单位报告后，未责令安装单位、使用单位立即停工整改的处罚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《建筑起重机械安全监督管理规定》（建设部令第166号）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41" w:type="dxa"/>
            <w:left w:w="57" w:type="dxa"/>
            <w:bottom w:w="0" w:type="dxa"/>
            <w:right w:w="41"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
              <w:jc w:val="center"/>
            </w:pPr>
            <w:r>
              <w:rPr>
                <w:rFonts w:ascii="宋体" w:hAnsi="宋体" w:eastAsia="宋体" w:cs="宋体"/>
                <w:sz w:val="16"/>
              </w:rPr>
              <w:t>184</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出租单位、自购建筑起重机械的使用单位未按照规定办理备案；未按照规定办理注销手续；未按照规定建立建筑起重机械安全技术档案的处罚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《建筑起重机械安全监督管理规定》（建设部令第166号）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41" w:type="dxa"/>
            <w:left w:w="57" w:type="dxa"/>
            <w:bottom w:w="0" w:type="dxa"/>
            <w:right w:w="41"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
              <w:jc w:val="center"/>
            </w:pPr>
            <w:r>
              <w:rPr>
                <w:rFonts w:ascii="宋体" w:hAnsi="宋体" w:eastAsia="宋体" w:cs="宋体"/>
                <w:sz w:val="16"/>
              </w:rPr>
              <w:t>185</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1"/>
              <w:jc w:val="center"/>
            </w:pPr>
            <w:r>
              <w:rPr>
                <w:rFonts w:ascii="宋体" w:hAnsi="宋体" w:eastAsia="宋体" w:cs="宋体"/>
                <w:sz w:val="16"/>
              </w:rPr>
              <w:t>“安管人员”涂改、倒卖、出租、出借或者以其他形式非法转让安全生产考核合格证书的行政处罚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《建筑施工企业主要负责人、项目负责人和专职安全生产管理人员安全生产管理规定》</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41" w:type="dxa"/>
            <w:left w:w="57" w:type="dxa"/>
            <w:bottom w:w="0" w:type="dxa"/>
            <w:right w:w="41"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
              <w:jc w:val="center"/>
            </w:pPr>
            <w:r>
              <w:rPr>
                <w:rFonts w:ascii="宋体" w:hAnsi="宋体" w:eastAsia="宋体" w:cs="宋体"/>
                <w:sz w:val="16"/>
              </w:rPr>
              <w:t>186</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“建筑施工企业未按规定开展“安管人员”安全生产教育培训考核，或者未按规定如实将考核情况记入安全生产教育培训档案的行政处罚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《建筑施工企业主要负责人、项目负责人和专职安全生产管理人员安全 生产管理规定》</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41" w:type="dxa"/>
            <w:left w:w="57" w:type="dxa"/>
            <w:bottom w:w="0" w:type="dxa"/>
            <w:right w:w="41" w:type="dxa"/>
          </w:tblCellMar>
        </w:tblPrEx>
        <w:trPr>
          <w:trHeight w:val="734"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
              <w:jc w:val="center"/>
            </w:pPr>
            <w:r>
              <w:rPr>
                <w:rFonts w:ascii="宋体" w:hAnsi="宋体" w:eastAsia="宋体" w:cs="宋体"/>
                <w:sz w:val="16"/>
              </w:rPr>
              <w:t>187</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未按规定设立安全生产管理机构的；未按规定配备专职安全生产管理人员的；危险性较大的分部分项工程施工时未安排专职安全生产管理人员现场监督的；“安管人员”未取得安全生产考核合格证书的行政处罚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《建筑施工企业主要负责人、项目负责人和专职安全生产管理人员安全 生产管理规定》</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41" w:type="dxa"/>
            <w:left w:w="57" w:type="dxa"/>
            <w:bottom w:w="0" w:type="dxa"/>
            <w:right w:w="41"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
              <w:jc w:val="center"/>
            </w:pPr>
            <w:r>
              <w:rPr>
                <w:rFonts w:ascii="宋体" w:hAnsi="宋体" w:eastAsia="宋体" w:cs="宋体"/>
                <w:sz w:val="16"/>
              </w:rPr>
              <w:t>188</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1"/>
              <w:jc w:val="center"/>
            </w:pPr>
            <w:r>
              <w:rPr>
                <w:rFonts w:ascii="宋体" w:hAnsi="宋体" w:eastAsia="宋体" w:cs="宋体"/>
                <w:sz w:val="16"/>
              </w:rPr>
              <w:t>“安管人员”未按规定办理证书变更的行政处罚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《建筑施工企业主要负责人、项目负责人和专职安全生产管理人员安全 生产管理规定》</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41" w:type="dxa"/>
            <w:left w:w="57" w:type="dxa"/>
            <w:bottom w:w="0" w:type="dxa"/>
            <w:right w:w="41"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
              <w:jc w:val="center"/>
            </w:pPr>
            <w:r>
              <w:rPr>
                <w:rFonts w:ascii="宋体" w:hAnsi="宋体" w:eastAsia="宋体" w:cs="宋体"/>
                <w:sz w:val="16"/>
              </w:rPr>
              <w:t>189</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主要负责人、项目负责人未按规定履行安全生产管理职责的行政处罚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《建筑施工企业主要负责人、项目负责人和专职安全生产管理人员安全生产管理规定》</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41" w:type="dxa"/>
            <w:left w:w="57" w:type="dxa"/>
            <w:bottom w:w="0" w:type="dxa"/>
            <w:right w:w="41"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
              <w:jc w:val="center"/>
            </w:pPr>
            <w:r>
              <w:rPr>
                <w:rFonts w:ascii="宋体" w:hAnsi="宋体" w:eastAsia="宋体" w:cs="宋体"/>
                <w:sz w:val="16"/>
              </w:rPr>
              <w:t>190</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right="2"/>
              <w:jc w:val="center"/>
            </w:pPr>
            <w:r>
              <w:rPr>
                <w:rFonts w:ascii="宋体" w:hAnsi="宋体" w:eastAsia="宋体" w:cs="宋体"/>
                <w:sz w:val="16"/>
              </w:rPr>
              <w:t>专职安全生产管理人员未按规定履行安全生产管理职责 的行政处罚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《建筑施工企业主要负责人、项目负责人和专职安全生产管理人员安全 生产管理规定》</w:t>
            </w:r>
          </w:p>
        </w:tc>
        <w:tc>
          <w:tcPr>
            <w:tcW w:w="0" w:type="auto"/>
            <w:vMerge w:val="continue"/>
            <w:tcBorders>
              <w:top w:val="nil"/>
              <w:left w:val="single" w:color="000000" w:sz="8" w:space="0"/>
              <w:bottom w:val="single" w:color="000000" w:sz="8" w:space="0"/>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bl>
    <w:p>
      <w:pPr>
        <w:spacing w:after="0"/>
        <w:ind w:left="-1440" w:right="15394"/>
      </w:pPr>
    </w:p>
    <w:tbl>
      <w:tblPr>
        <w:tblStyle w:val="7"/>
        <w:tblW w:w="15775" w:type="dxa"/>
        <w:tblInd w:w="-1080" w:type="dxa"/>
        <w:tblLayout w:type="autofit"/>
        <w:tblCellMar>
          <w:top w:w="11" w:type="dxa"/>
          <w:left w:w="67" w:type="dxa"/>
          <w:bottom w:w="11" w:type="dxa"/>
          <w:right w:w="50" w:type="dxa"/>
        </w:tblCellMar>
      </w:tblPr>
      <w:tblGrid>
        <w:gridCol w:w="662"/>
        <w:gridCol w:w="7687"/>
        <w:gridCol w:w="4766"/>
        <w:gridCol w:w="1565"/>
        <w:gridCol w:w="1095"/>
      </w:tblGrid>
      <w:tr>
        <w:tblPrEx>
          <w:tblCellMar>
            <w:top w:w="11" w:type="dxa"/>
            <w:left w:w="67" w:type="dxa"/>
            <w:bottom w:w="11" w:type="dxa"/>
            <w:right w:w="50" w:type="dxa"/>
          </w:tblCellMar>
        </w:tblPrEx>
        <w:trPr>
          <w:trHeight w:val="542"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11"/>
            </w:pPr>
            <w:r>
              <w:rPr>
                <w:rFonts w:ascii="黑体" w:hAnsi="黑体" w:eastAsia="黑体" w:cs="黑体"/>
                <w:sz w:val="16"/>
              </w:rPr>
              <w:t>序号</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right="4"/>
              <w:jc w:val="center"/>
            </w:pPr>
            <w:r>
              <w:rPr>
                <w:rFonts w:ascii="黑体" w:hAnsi="黑体" w:eastAsia="黑体" w:cs="黑体"/>
                <w:sz w:val="16"/>
              </w:rPr>
              <w:t>违法行为</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2"/>
              <w:jc w:val="center"/>
            </w:pPr>
            <w:r>
              <w:rPr>
                <w:rFonts w:ascii="黑体" w:hAnsi="黑体" w:eastAsia="黑体" w:cs="黑体"/>
                <w:sz w:val="16"/>
              </w:rPr>
              <w:t>行政处罚实施依据</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right="1"/>
              <w:jc w:val="center"/>
            </w:pPr>
            <w:r>
              <w:rPr>
                <w:rFonts w:ascii="黑体" w:hAnsi="黑体" w:eastAsia="黑体" w:cs="黑体"/>
                <w:sz w:val="16"/>
              </w:rPr>
              <w:t>责任科室</w:t>
            </w:r>
          </w:p>
        </w:tc>
        <w:tc>
          <w:tcPr>
            <w:tcW w:w="1094" w:type="dxa"/>
            <w:tcBorders>
              <w:top w:val="single" w:color="000000" w:sz="8" w:space="0"/>
              <w:left w:val="single" w:color="000000" w:sz="8" w:space="0"/>
              <w:bottom w:val="single" w:color="000000" w:sz="8" w:space="0"/>
              <w:right w:val="single" w:color="000000" w:sz="8" w:space="0"/>
            </w:tcBorders>
            <w:vAlign w:val="center"/>
          </w:tcPr>
          <w:p>
            <w:pPr>
              <w:spacing w:after="0"/>
              <w:ind w:right="2"/>
              <w:jc w:val="center"/>
            </w:pPr>
            <w:r>
              <w:rPr>
                <w:rFonts w:ascii="黑体" w:hAnsi="黑体" w:eastAsia="黑体" w:cs="黑体"/>
                <w:sz w:val="16"/>
              </w:rPr>
              <w:t>备注</w:t>
            </w:r>
          </w:p>
        </w:tc>
      </w:tr>
      <w:tr>
        <w:tblPrEx>
          <w:tblCellMar>
            <w:top w:w="11" w:type="dxa"/>
            <w:left w:w="67" w:type="dxa"/>
            <w:bottom w:w="11" w:type="dxa"/>
            <w:right w:w="50" w:type="dxa"/>
          </w:tblCellMar>
        </w:tblPrEx>
        <w:trPr>
          <w:trHeight w:val="1025"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191</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1" w:line="232" w:lineRule="auto"/>
              <w:ind w:left="41"/>
              <w:jc w:val="both"/>
            </w:pPr>
            <w:r>
              <w:rPr>
                <w:rFonts w:ascii="宋体" w:hAnsi="宋体" w:eastAsia="宋体" w:cs="宋体"/>
                <w:sz w:val="16"/>
              </w:rPr>
              <w:t>建设单位未按照本规定提供工程周边环境等资料的；未按照本规定在招标文件中列出危大工程清单的； 未按照施工合同约定及时支付危大工程施工技术措施费或者相应的安全防护文明施工措施费的； 未按照本规</w:t>
            </w:r>
          </w:p>
          <w:p>
            <w:pPr>
              <w:spacing w:after="0"/>
              <w:jc w:val="center"/>
            </w:pPr>
            <w:r>
              <w:rPr>
                <w:rFonts w:ascii="宋体" w:hAnsi="宋体" w:eastAsia="宋体" w:cs="宋体"/>
                <w:sz w:val="16"/>
              </w:rPr>
              <w:t>定委托具有相应勘察资质的单位进行第三方监测的；未对第三方监测单位报告的异常情况组织采取处置措施的行政处罚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2"/>
              <w:jc w:val="center"/>
            </w:pPr>
            <w:r>
              <w:rPr>
                <w:rFonts w:ascii="宋体" w:hAnsi="宋体" w:eastAsia="宋体" w:cs="宋体"/>
                <w:sz w:val="16"/>
              </w:rPr>
              <w:t>《建设工程安全生产管理条例》（国务院令第393号）</w:t>
            </w:r>
          </w:p>
        </w:tc>
        <w:tc>
          <w:tcPr>
            <w:tcW w:w="1565" w:type="dxa"/>
            <w:vMerge w:val="restart"/>
            <w:tcBorders>
              <w:top w:val="single" w:color="000000" w:sz="8" w:space="0"/>
              <w:left w:val="single" w:color="000000" w:sz="8" w:space="0"/>
              <w:bottom w:val="single" w:color="000000" w:sz="8" w:space="0"/>
              <w:right w:val="single" w:color="000000" w:sz="8" w:space="0"/>
            </w:tcBorders>
            <w:vAlign w:val="center"/>
          </w:tcPr>
          <w:p>
            <w:pPr>
              <w:spacing w:after="0"/>
              <w:jc w:val="both"/>
            </w:pPr>
            <w:r>
              <w:rPr>
                <w:rFonts w:ascii="宋体" w:hAnsi="宋体" w:eastAsia="宋体" w:cs="宋体"/>
                <w:sz w:val="16"/>
              </w:rPr>
              <w:t>工程质量安全管理科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11" w:type="dxa"/>
            <w:left w:w="67" w:type="dxa"/>
            <w:bottom w:w="11" w:type="dxa"/>
            <w:right w:w="50"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192</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right="3"/>
              <w:jc w:val="center"/>
            </w:pPr>
            <w:r>
              <w:rPr>
                <w:rFonts w:ascii="宋体" w:hAnsi="宋体" w:eastAsia="宋体" w:cs="宋体"/>
                <w:sz w:val="16"/>
              </w:rPr>
              <w:t>勘察单位未在勘察文件中说明地质条件可能造成的工程风险的行政处罚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1"/>
              <w:jc w:val="center"/>
            </w:pPr>
            <w:r>
              <w:rPr>
                <w:rFonts w:ascii="宋体" w:hAnsi="宋体" w:eastAsia="宋体" w:cs="宋体"/>
                <w:sz w:val="16"/>
              </w:rPr>
              <w:t>《危险性较大的分部分项工程安全管理规定》</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11" w:type="dxa"/>
            <w:left w:w="67" w:type="dxa"/>
            <w:bottom w:w="11" w:type="dxa"/>
            <w:right w:w="50"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193</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设计单位设计单位未在设计文件中注明涉及危大工程的重点部位和环节，未提出保障工程周边环境安全和工程施工安全的意见的行政处罚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1"/>
              <w:jc w:val="center"/>
            </w:pPr>
            <w:r>
              <w:rPr>
                <w:rFonts w:ascii="宋体" w:hAnsi="宋体" w:eastAsia="宋体" w:cs="宋体"/>
                <w:sz w:val="16"/>
              </w:rPr>
              <w:t>《危险性较大的分部分项工程安全管理规定》</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11" w:type="dxa"/>
            <w:left w:w="67" w:type="dxa"/>
            <w:bottom w:w="11" w:type="dxa"/>
            <w:right w:w="50"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194</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right="4"/>
              <w:jc w:val="center"/>
            </w:pPr>
            <w:r>
              <w:rPr>
                <w:rFonts w:ascii="宋体" w:hAnsi="宋体" w:eastAsia="宋体" w:cs="宋体"/>
                <w:sz w:val="16"/>
              </w:rPr>
              <w:t>施工单位施工单位未 按照本规定编制并审核危大工程专项施工方案的行政处罚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1"/>
              <w:jc w:val="center"/>
            </w:pPr>
            <w:r>
              <w:rPr>
                <w:rFonts w:ascii="宋体" w:hAnsi="宋体" w:eastAsia="宋体" w:cs="宋体"/>
                <w:sz w:val="16"/>
              </w:rPr>
              <w:t>《危险性较大的分部分项工程安全管理规定》</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11" w:type="dxa"/>
            <w:left w:w="67" w:type="dxa"/>
            <w:bottom w:w="11" w:type="dxa"/>
            <w:right w:w="50" w:type="dxa"/>
          </w:tblCellMar>
        </w:tblPrEx>
        <w:trPr>
          <w:trHeight w:val="734"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195</w:t>
            </w:r>
          </w:p>
        </w:tc>
        <w:tc>
          <w:tcPr>
            <w:tcW w:w="7687" w:type="dxa"/>
            <w:tcBorders>
              <w:top w:val="single" w:color="000000" w:sz="8" w:space="0"/>
              <w:left w:val="single" w:color="000000" w:sz="8" w:space="0"/>
              <w:bottom w:val="single" w:color="000000" w:sz="8" w:space="0"/>
              <w:right w:val="single" w:color="000000" w:sz="8" w:space="0"/>
            </w:tcBorders>
          </w:tcPr>
          <w:p>
            <w:pPr>
              <w:spacing w:after="0"/>
              <w:jc w:val="center"/>
            </w:pPr>
            <w:r>
              <w:rPr>
                <w:rFonts w:ascii="宋体" w:hAnsi="宋体" w:eastAsia="宋体" w:cs="宋体"/>
                <w:sz w:val="16"/>
              </w:rPr>
              <w:t>施工单位未对超过一定规模的危大工程专项施工方案进行专家论证的；未根据专家论证报告对超过一定规模的危大工程专项施工方案进行修改，或 者未按照本规定重新组织专家论证的；未严格按照专项施工方案组织施工，或者擅自修改专项施工方案的行政处罚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1"/>
              <w:jc w:val="center"/>
            </w:pPr>
            <w:r>
              <w:rPr>
                <w:rFonts w:ascii="宋体" w:hAnsi="宋体" w:eastAsia="宋体" w:cs="宋体"/>
                <w:sz w:val="16"/>
              </w:rPr>
              <w:t>《危险性较大的分部分项工程安全管理规定》</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11" w:type="dxa"/>
            <w:left w:w="67" w:type="dxa"/>
            <w:bottom w:w="11" w:type="dxa"/>
            <w:right w:w="50" w:type="dxa"/>
          </w:tblCellMar>
        </w:tblPrEx>
        <w:trPr>
          <w:trHeight w:val="773"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196</w:t>
            </w:r>
          </w:p>
        </w:tc>
        <w:tc>
          <w:tcPr>
            <w:tcW w:w="7687" w:type="dxa"/>
            <w:tcBorders>
              <w:top w:val="single" w:color="000000" w:sz="8" w:space="0"/>
              <w:left w:val="single" w:color="000000" w:sz="8" w:space="0"/>
              <w:bottom w:val="single" w:color="000000" w:sz="8" w:space="0"/>
              <w:right w:val="single" w:color="000000" w:sz="8" w:space="0"/>
            </w:tcBorders>
          </w:tcPr>
          <w:p>
            <w:pPr>
              <w:spacing w:after="0"/>
              <w:ind w:left="3"/>
              <w:jc w:val="both"/>
            </w:pPr>
            <w:r>
              <w:rPr>
                <w:rFonts w:ascii="宋体" w:hAnsi="宋体" w:eastAsia="宋体" w:cs="宋体"/>
                <w:sz w:val="16"/>
              </w:rPr>
              <w:t>施工单位项目负责人未按照本规定现场履职或者组织限期整改的；施工单位未按照本规定进行施工监测和安</w:t>
            </w:r>
          </w:p>
          <w:p>
            <w:pPr>
              <w:spacing w:after="0"/>
              <w:jc w:val="center"/>
            </w:pPr>
            <w:r>
              <w:rPr>
                <w:rFonts w:ascii="宋体" w:hAnsi="宋体" w:eastAsia="宋体" w:cs="宋体"/>
                <w:sz w:val="16"/>
              </w:rPr>
              <w:t>全巡视的；未按照本规定组织危大工程验收的；发生险情或者事故时，未采取应急处置措施的；未按照本规定建立危大工程安全管理档案的行政处罚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1"/>
              <w:jc w:val="center"/>
            </w:pPr>
            <w:r>
              <w:rPr>
                <w:rFonts w:ascii="宋体" w:hAnsi="宋体" w:eastAsia="宋体" w:cs="宋体"/>
                <w:sz w:val="16"/>
              </w:rPr>
              <w:t>《危险性较大的分部分项工程安全管理规定》</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11" w:type="dxa"/>
            <w:left w:w="67" w:type="dxa"/>
            <w:bottom w:w="11" w:type="dxa"/>
            <w:right w:w="50" w:type="dxa"/>
          </w:tblCellMar>
        </w:tblPrEx>
        <w:trPr>
          <w:trHeight w:val="773"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197</w:t>
            </w:r>
          </w:p>
        </w:tc>
        <w:tc>
          <w:tcPr>
            <w:tcW w:w="7687" w:type="dxa"/>
            <w:tcBorders>
              <w:top w:val="single" w:color="000000" w:sz="8" w:space="0"/>
              <w:left w:val="single" w:color="000000" w:sz="8" w:space="0"/>
              <w:bottom w:val="single" w:color="000000" w:sz="8" w:space="0"/>
              <w:right w:val="single" w:color="000000" w:sz="8" w:space="0"/>
            </w:tcBorders>
          </w:tcPr>
          <w:p>
            <w:pPr>
              <w:spacing w:after="0"/>
              <w:ind w:left="82"/>
              <w:jc w:val="both"/>
            </w:pPr>
            <w:r>
              <w:rPr>
                <w:rFonts w:ascii="宋体" w:hAnsi="宋体" w:eastAsia="宋体" w:cs="宋体"/>
                <w:sz w:val="16"/>
              </w:rPr>
              <w:t>监理单位总监理工程师未按照本规定审查危大工程专项施工方案的；发现施工单位未按照专项施工方案实</w:t>
            </w:r>
          </w:p>
          <w:p>
            <w:pPr>
              <w:spacing w:after="0"/>
              <w:jc w:val="center"/>
            </w:pPr>
            <w:r>
              <w:rPr>
                <w:rFonts w:ascii="宋体" w:hAnsi="宋体" w:eastAsia="宋体" w:cs="宋体"/>
                <w:sz w:val="16"/>
              </w:rPr>
              <w:t>施，未要求其整改或者停工的；施工单位拒不整改或者不停止施工时，未向建设单位和工程所在地住房城乡建设主管部门报告的行政处罚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1"/>
              <w:jc w:val="center"/>
            </w:pPr>
            <w:r>
              <w:rPr>
                <w:rFonts w:ascii="宋体" w:hAnsi="宋体" w:eastAsia="宋体" w:cs="宋体"/>
                <w:sz w:val="16"/>
              </w:rPr>
              <w:t>《危险性较大的分部分项工程安全管理规定》</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11" w:type="dxa"/>
            <w:left w:w="67" w:type="dxa"/>
            <w:bottom w:w="11" w:type="dxa"/>
            <w:right w:w="50" w:type="dxa"/>
          </w:tblCellMar>
        </w:tblPrEx>
        <w:trPr>
          <w:trHeight w:val="794"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198</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监理单位未按照本规定编制监理实施细则的；未对危大工程施工实施专项巡视检查的；未按照本规定参与组织危大工程验收的；未按照本规定建立危大工程安全管理档案的行政处罚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1"/>
              <w:jc w:val="center"/>
            </w:pPr>
            <w:r>
              <w:rPr>
                <w:rFonts w:ascii="宋体" w:hAnsi="宋体" w:eastAsia="宋体" w:cs="宋体"/>
                <w:sz w:val="16"/>
              </w:rPr>
              <w:t>《危险性较大的分部分项工程安全管理规定》</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11" w:type="dxa"/>
            <w:left w:w="67" w:type="dxa"/>
            <w:bottom w:w="11" w:type="dxa"/>
            <w:right w:w="50"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199</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监测单位未取得相应勘察资质从事第三方监测的；未按照本规定编制监测方案的；未按照监测方案开展监测的；发现异常未及时报告的行政处罚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1"/>
              <w:jc w:val="center"/>
            </w:pPr>
            <w:r>
              <w:rPr>
                <w:rFonts w:ascii="宋体" w:hAnsi="宋体" w:eastAsia="宋体" w:cs="宋体"/>
                <w:sz w:val="16"/>
              </w:rPr>
              <w:t>《危险性较大的分部分项工程安全管理规定》</w:t>
            </w:r>
          </w:p>
        </w:tc>
        <w:tc>
          <w:tcPr>
            <w:tcW w:w="0" w:type="auto"/>
            <w:vMerge w:val="continue"/>
            <w:tcBorders>
              <w:top w:val="nil"/>
              <w:left w:val="single" w:color="000000" w:sz="8" w:space="0"/>
              <w:bottom w:val="single" w:color="000000" w:sz="8" w:space="0"/>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11" w:type="dxa"/>
            <w:left w:w="67" w:type="dxa"/>
            <w:bottom w:w="11" w:type="dxa"/>
            <w:right w:w="50"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200</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建设单位将建设工程发包给不具有相应资质等级的勘察、设计、施工单位或者委托给不具有相应资质等级的工程监理单位的处罚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4"/>
              <w:jc w:val="center"/>
            </w:pPr>
            <w:r>
              <w:rPr>
                <w:rFonts w:ascii="宋体" w:hAnsi="宋体" w:eastAsia="宋体" w:cs="宋体"/>
                <w:sz w:val="16"/>
              </w:rPr>
              <w:t>《建设工程质量管理条例》（国务院令第279号）</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161"/>
            </w:pPr>
            <w:r>
              <w:rPr>
                <w:rFonts w:ascii="宋体" w:hAnsi="宋体" w:eastAsia="宋体" w:cs="宋体"/>
                <w:sz w:val="16"/>
              </w:rPr>
              <w:t>建筑市场管理科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11" w:type="dxa"/>
            <w:left w:w="67" w:type="dxa"/>
            <w:bottom w:w="11" w:type="dxa"/>
            <w:right w:w="50" w:type="dxa"/>
          </w:tblCellMar>
        </w:tblPrEx>
        <w:trPr>
          <w:trHeight w:val="562"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201</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right="2"/>
              <w:jc w:val="center"/>
            </w:pPr>
            <w:r>
              <w:rPr>
                <w:rFonts w:ascii="宋体" w:hAnsi="宋体" w:eastAsia="宋体" w:cs="宋体"/>
                <w:sz w:val="16"/>
              </w:rPr>
              <w:t>建设单位将建设工程肢解发包的处罚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4"/>
              <w:jc w:val="center"/>
            </w:pPr>
            <w:r>
              <w:rPr>
                <w:rFonts w:ascii="宋体" w:hAnsi="宋体" w:eastAsia="宋体" w:cs="宋体"/>
                <w:sz w:val="16"/>
              </w:rPr>
              <w:t>《建设工程质量管理条例》（国务院令第279号）</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161"/>
            </w:pPr>
            <w:r>
              <w:rPr>
                <w:rFonts w:ascii="宋体" w:hAnsi="宋体" w:eastAsia="宋体" w:cs="宋体"/>
                <w:sz w:val="16"/>
              </w:rPr>
              <w:t>建筑市场管理科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11" w:type="dxa"/>
            <w:left w:w="67" w:type="dxa"/>
            <w:bottom w:w="11" w:type="dxa"/>
            <w:right w:w="50" w:type="dxa"/>
          </w:tblCellMar>
        </w:tblPrEx>
        <w:trPr>
          <w:trHeight w:val="562"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202</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
              <w:jc w:val="both"/>
            </w:pPr>
            <w:r>
              <w:rPr>
                <w:rFonts w:ascii="宋体" w:hAnsi="宋体" w:eastAsia="宋体" w:cs="宋体"/>
                <w:sz w:val="16"/>
              </w:rPr>
              <w:t>未取得施工许可证或者开工报告未经批准，擅自施工；规避办理施工许可证将工程项目分解后擅自施工处罚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4"/>
              <w:jc w:val="center"/>
            </w:pPr>
            <w:r>
              <w:rPr>
                <w:rFonts w:ascii="宋体" w:hAnsi="宋体" w:eastAsia="宋体" w:cs="宋体"/>
                <w:sz w:val="16"/>
              </w:rPr>
              <w:t>《建设工程质量管理条例》（国务院令第279号）</w:t>
            </w:r>
          </w:p>
        </w:tc>
        <w:tc>
          <w:tcPr>
            <w:tcW w:w="1565" w:type="dxa"/>
            <w:vMerge w:val="restart"/>
            <w:tcBorders>
              <w:top w:val="single" w:color="000000" w:sz="8" w:space="0"/>
              <w:left w:val="single" w:color="000000" w:sz="8" w:space="0"/>
              <w:bottom w:val="nil"/>
              <w:right w:val="single" w:color="000000" w:sz="8" w:space="0"/>
            </w:tcBorders>
            <w:vAlign w:val="bottom"/>
          </w:tcPr>
          <w:p>
            <w:pPr>
              <w:spacing w:after="0"/>
              <w:jc w:val="both"/>
            </w:pPr>
            <w:r>
              <w:rPr>
                <w:rFonts w:ascii="宋体" w:hAnsi="宋体" w:eastAsia="宋体" w:cs="宋体"/>
                <w:sz w:val="16"/>
              </w:rPr>
              <w:t>工程质量安全管理科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11" w:type="dxa"/>
            <w:left w:w="67" w:type="dxa"/>
            <w:bottom w:w="11" w:type="dxa"/>
            <w:right w:w="50" w:type="dxa"/>
          </w:tblCellMar>
        </w:tblPrEx>
        <w:trPr>
          <w:trHeight w:val="131" w:hRule="atLeast"/>
        </w:trPr>
        <w:tc>
          <w:tcPr>
            <w:tcW w:w="662" w:type="dxa"/>
            <w:tcBorders>
              <w:top w:val="single" w:color="000000" w:sz="8" w:space="0"/>
              <w:left w:val="single" w:color="000000" w:sz="8" w:space="0"/>
              <w:bottom w:val="nil"/>
              <w:right w:val="single" w:color="000000" w:sz="8" w:space="0"/>
            </w:tcBorders>
          </w:tcPr>
          <w:p>
            <w:pPr>
              <w:spacing w:after="0"/>
            </w:pPr>
          </w:p>
        </w:tc>
        <w:tc>
          <w:tcPr>
            <w:tcW w:w="7687" w:type="dxa"/>
            <w:tcBorders>
              <w:top w:val="single" w:color="000000" w:sz="8" w:space="0"/>
              <w:left w:val="single" w:color="000000" w:sz="8" w:space="0"/>
              <w:bottom w:val="nil"/>
              <w:right w:val="single" w:color="000000" w:sz="8" w:space="0"/>
            </w:tcBorders>
          </w:tcPr>
          <w:p>
            <w:pPr>
              <w:spacing w:after="0"/>
            </w:pPr>
          </w:p>
        </w:tc>
        <w:tc>
          <w:tcPr>
            <w:tcW w:w="4766" w:type="dxa"/>
            <w:tcBorders>
              <w:top w:val="single" w:color="000000" w:sz="8" w:space="0"/>
              <w:left w:val="single" w:color="000000" w:sz="8" w:space="0"/>
              <w:bottom w:val="nil"/>
              <w:right w:val="single" w:color="000000" w:sz="8" w:space="0"/>
            </w:tcBorders>
          </w:tcPr>
          <w:p>
            <w:pPr>
              <w:spacing w:after="0"/>
            </w:pP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nil"/>
              <w:right w:val="single" w:color="000000" w:sz="8" w:space="0"/>
            </w:tcBorders>
          </w:tcPr>
          <w:p>
            <w:pPr>
              <w:spacing w:after="0"/>
            </w:pPr>
          </w:p>
        </w:tc>
      </w:tr>
      <w:tr>
        <w:tblPrEx>
          <w:tblCellMar>
            <w:top w:w="11" w:type="dxa"/>
            <w:left w:w="67" w:type="dxa"/>
            <w:bottom w:w="11" w:type="dxa"/>
            <w:right w:w="50" w:type="dxa"/>
          </w:tblCellMar>
        </w:tblPrEx>
        <w:trPr>
          <w:trHeight w:val="488" w:hRule="atLeast"/>
        </w:trPr>
        <w:tc>
          <w:tcPr>
            <w:tcW w:w="662" w:type="dxa"/>
            <w:tcBorders>
              <w:top w:val="nil"/>
              <w:left w:val="single" w:color="000000" w:sz="8" w:space="0"/>
              <w:bottom w:val="single" w:color="000000" w:sz="8" w:space="0"/>
              <w:right w:val="single" w:color="000000" w:sz="8" w:space="0"/>
            </w:tcBorders>
          </w:tcPr>
          <w:p>
            <w:pPr>
              <w:spacing w:after="0"/>
              <w:jc w:val="center"/>
            </w:pPr>
            <w:r>
              <w:rPr>
                <w:rFonts w:ascii="宋体" w:hAnsi="宋体" w:eastAsia="宋体" w:cs="宋体"/>
                <w:sz w:val="16"/>
              </w:rPr>
              <w:t>203</w:t>
            </w:r>
          </w:p>
        </w:tc>
        <w:tc>
          <w:tcPr>
            <w:tcW w:w="7687" w:type="dxa"/>
            <w:tcBorders>
              <w:top w:val="nil"/>
              <w:left w:val="single" w:color="000000" w:sz="8" w:space="0"/>
              <w:bottom w:val="single" w:color="000000" w:sz="8" w:space="0"/>
              <w:right w:val="single" w:color="000000" w:sz="8" w:space="0"/>
            </w:tcBorders>
          </w:tcPr>
          <w:p>
            <w:pPr>
              <w:spacing w:after="0"/>
              <w:jc w:val="center"/>
            </w:pPr>
            <w:r>
              <w:rPr>
                <w:rFonts w:ascii="宋体" w:hAnsi="宋体" w:eastAsia="宋体" w:cs="宋体"/>
                <w:sz w:val="16"/>
              </w:rPr>
              <w:t>建设单位未组织竣工验收，擅自交付使用；验收不合格，擅自交付使用；对不合格的建设工程按照合格工程验收的处罚</w:t>
            </w:r>
          </w:p>
        </w:tc>
        <w:tc>
          <w:tcPr>
            <w:tcW w:w="4766" w:type="dxa"/>
            <w:tcBorders>
              <w:top w:val="nil"/>
              <w:left w:val="single" w:color="000000" w:sz="8" w:space="0"/>
              <w:bottom w:val="single" w:color="000000" w:sz="8" w:space="0"/>
              <w:right w:val="single" w:color="000000" w:sz="8" w:space="0"/>
            </w:tcBorders>
          </w:tcPr>
          <w:p>
            <w:pPr>
              <w:spacing w:after="0"/>
              <w:ind w:right="4"/>
              <w:jc w:val="center"/>
            </w:pPr>
            <w:r>
              <w:rPr>
                <w:rFonts w:ascii="宋体" w:hAnsi="宋体" w:eastAsia="宋体" w:cs="宋体"/>
                <w:sz w:val="16"/>
              </w:rPr>
              <w:t>《建设工程质量管理条例》（国务院令第279号）</w:t>
            </w:r>
          </w:p>
        </w:tc>
        <w:tc>
          <w:tcPr>
            <w:tcW w:w="1565" w:type="dxa"/>
            <w:tcBorders>
              <w:top w:val="nil"/>
              <w:left w:val="single" w:color="000000" w:sz="8" w:space="0"/>
              <w:bottom w:val="single" w:color="000000" w:sz="8" w:space="0"/>
              <w:right w:val="single" w:color="000000" w:sz="8" w:space="0"/>
            </w:tcBorders>
          </w:tcPr>
          <w:p>
            <w:pPr>
              <w:spacing w:after="0"/>
            </w:pPr>
          </w:p>
        </w:tc>
        <w:tc>
          <w:tcPr>
            <w:tcW w:w="1094" w:type="dxa"/>
            <w:tcBorders>
              <w:top w:val="nil"/>
              <w:left w:val="single" w:color="000000" w:sz="8" w:space="0"/>
              <w:bottom w:val="single" w:color="000000" w:sz="8" w:space="0"/>
              <w:right w:val="single" w:color="000000" w:sz="8" w:space="0"/>
            </w:tcBorders>
          </w:tcPr>
          <w:p>
            <w:pPr>
              <w:spacing w:after="0"/>
            </w:pPr>
          </w:p>
        </w:tc>
      </w:tr>
    </w:tbl>
    <w:p>
      <w:pPr>
        <w:spacing w:after="0"/>
        <w:ind w:left="-1440" w:right="15394"/>
      </w:pPr>
    </w:p>
    <w:tbl>
      <w:tblPr>
        <w:tblStyle w:val="7"/>
        <w:tblW w:w="15775" w:type="dxa"/>
        <w:tblInd w:w="-1080" w:type="dxa"/>
        <w:tblLayout w:type="autofit"/>
        <w:tblCellMar>
          <w:top w:w="1" w:type="dxa"/>
          <w:left w:w="29" w:type="dxa"/>
          <w:bottom w:w="1" w:type="dxa"/>
          <w:right w:w="42" w:type="dxa"/>
        </w:tblCellMar>
      </w:tblPr>
      <w:tblGrid>
        <w:gridCol w:w="662"/>
        <w:gridCol w:w="7687"/>
        <w:gridCol w:w="4766"/>
        <w:gridCol w:w="1565"/>
        <w:gridCol w:w="1095"/>
      </w:tblGrid>
      <w:tr>
        <w:tblPrEx>
          <w:tblCellMar>
            <w:top w:w="1" w:type="dxa"/>
            <w:left w:w="29" w:type="dxa"/>
            <w:bottom w:w="1" w:type="dxa"/>
            <w:right w:w="42" w:type="dxa"/>
          </w:tblCellMar>
        </w:tblPrEx>
        <w:trPr>
          <w:trHeight w:val="542"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49"/>
            </w:pPr>
            <w:r>
              <w:rPr>
                <w:rFonts w:ascii="黑体" w:hAnsi="黑体" w:eastAsia="黑体" w:cs="黑体"/>
                <w:sz w:val="16"/>
              </w:rPr>
              <w:t>序号</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26"/>
              <w:jc w:val="center"/>
            </w:pPr>
            <w:r>
              <w:rPr>
                <w:rFonts w:ascii="黑体" w:hAnsi="黑体" w:eastAsia="黑体" w:cs="黑体"/>
                <w:sz w:val="16"/>
              </w:rPr>
              <w:t>违法行为</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28"/>
              <w:jc w:val="center"/>
            </w:pPr>
            <w:r>
              <w:rPr>
                <w:rFonts w:ascii="黑体" w:hAnsi="黑体" w:eastAsia="黑体" w:cs="黑体"/>
                <w:sz w:val="16"/>
              </w:rPr>
              <w:t>行政处罚实施依据</w:t>
            </w:r>
          </w:p>
        </w:tc>
        <w:tc>
          <w:tcPr>
            <w:tcW w:w="1565" w:type="dxa"/>
            <w:vMerge w:val="restart"/>
            <w:tcBorders>
              <w:top w:val="single" w:color="000000" w:sz="8" w:space="0"/>
              <w:left w:val="single" w:color="000000" w:sz="8" w:space="0"/>
              <w:bottom w:val="single" w:color="000000" w:sz="8" w:space="0"/>
              <w:right w:val="single" w:color="000000" w:sz="8" w:space="0"/>
            </w:tcBorders>
            <w:vAlign w:val="center"/>
          </w:tcPr>
          <w:p>
            <w:pPr>
              <w:spacing w:after="356"/>
              <w:ind w:left="29"/>
              <w:jc w:val="center"/>
            </w:pPr>
            <w:r>
              <w:rPr>
                <w:rFonts w:ascii="黑体" w:hAnsi="黑体" w:eastAsia="黑体" w:cs="黑体"/>
                <w:sz w:val="16"/>
              </w:rPr>
              <w:t>责任科室</w:t>
            </w:r>
          </w:p>
          <w:p>
            <w:pPr>
              <w:spacing w:after="0"/>
              <w:ind w:left="2"/>
              <w:jc w:val="both"/>
            </w:pPr>
            <w:r>
              <w:rPr>
                <w:rFonts w:ascii="宋体" w:hAnsi="宋体" w:eastAsia="宋体" w:cs="宋体"/>
                <w:sz w:val="16"/>
              </w:rPr>
              <w:t>工程质量安全管理科</w:t>
            </w:r>
          </w:p>
        </w:tc>
        <w:tc>
          <w:tcPr>
            <w:tcW w:w="1094" w:type="dxa"/>
            <w:tcBorders>
              <w:top w:val="single" w:color="000000" w:sz="8" w:space="0"/>
              <w:left w:val="single" w:color="000000" w:sz="8" w:space="0"/>
              <w:bottom w:val="single" w:color="000000" w:sz="8" w:space="0"/>
              <w:right w:val="single" w:color="000000" w:sz="8" w:space="0"/>
            </w:tcBorders>
            <w:vAlign w:val="center"/>
          </w:tcPr>
          <w:p>
            <w:pPr>
              <w:spacing w:after="0"/>
              <w:ind w:left="28"/>
              <w:jc w:val="center"/>
            </w:pPr>
            <w:r>
              <w:rPr>
                <w:rFonts w:ascii="黑体" w:hAnsi="黑体" w:eastAsia="黑体" w:cs="黑体"/>
                <w:sz w:val="16"/>
              </w:rPr>
              <w:t>备注</w:t>
            </w:r>
          </w:p>
        </w:tc>
      </w:tr>
      <w:tr>
        <w:tblPrEx>
          <w:tblCellMar>
            <w:top w:w="1" w:type="dxa"/>
            <w:left w:w="29" w:type="dxa"/>
            <w:bottom w:w="1" w:type="dxa"/>
            <w:right w:w="4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0"/>
              <w:jc w:val="center"/>
            </w:pPr>
            <w:r>
              <w:rPr>
                <w:rFonts w:ascii="宋体" w:hAnsi="宋体" w:eastAsia="宋体" w:cs="宋体"/>
                <w:sz w:val="16"/>
              </w:rPr>
              <w:t>204</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1"/>
              <w:jc w:val="center"/>
            </w:pPr>
            <w:r>
              <w:rPr>
                <w:rFonts w:ascii="宋体" w:hAnsi="宋体" w:eastAsia="宋体" w:cs="宋体"/>
                <w:sz w:val="16"/>
              </w:rPr>
              <w:t>建设工程竣工验收后，建设单位未向建设行政主管部门或者其他有关部门移交建设项目档案的处罚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26"/>
              <w:jc w:val="center"/>
            </w:pPr>
            <w:r>
              <w:rPr>
                <w:rFonts w:ascii="宋体" w:hAnsi="宋体" w:eastAsia="宋体" w:cs="宋体"/>
                <w:sz w:val="16"/>
              </w:rPr>
              <w:t>《建设工程质量管理条例》（国务院令第279号）</w:t>
            </w:r>
          </w:p>
        </w:tc>
        <w:tc>
          <w:tcPr>
            <w:tcW w:w="0" w:type="auto"/>
            <w:vMerge w:val="continue"/>
            <w:tcBorders>
              <w:top w:val="nil"/>
              <w:left w:val="single" w:color="000000" w:sz="8" w:space="0"/>
              <w:bottom w:val="single" w:color="000000" w:sz="8" w:space="0"/>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1" w:type="dxa"/>
            <w:left w:w="29" w:type="dxa"/>
            <w:bottom w:w="1" w:type="dxa"/>
            <w:right w:w="42" w:type="dxa"/>
          </w:tblCellMar>
        </w:tblPrEx>
        <w:trPr>
          <w:trHeight w:val="523"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0"/>
              <w:jc w:val="center"/>
            </w:pPr>
            <w:r>
              <w:rPr>
                <w:rFonts w:ascii="宋体" w:hAnsi="宋体" w:eastAsia="宋体" w:cs="宋体"/>
                <w:sz w:val="16"/>
              </w:rPr>
              <w:t>205</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28"/>
              <w:jc w:val="center"/>
            </w:pPr>
            <w:r>
              <w:rPr>
                <w:rFonts w:ascii="宋体" w:hAnsi="宋体" w:eastAsia="宋体" w:cs="宋体"/>
                <w:sz w:val="16"/>
              </w:rPr>
              <w:t>勘察、设计、施工、工程监理单位超越本单位资质等级承揽工程的处罚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26"/>
              <w:jc w:val="center"/>
            </w:pPr>
            <w:r>
              <w:rPr>
                <w:rFonts w:ascii="宋体" w:hAnsi="宋体" w:eastAsia="宋体" w:cs="宋体"/>
                <w:sz w:val="16"/>
              </w:rPr>
              <w:t>《建设工程质量管理条例》（国务院令第279号）</w:t>
            </w:r>
          </w:p>
        </w:tc>
        <w:tc>
          <w:tcPr>
            <w:tcW w:w="1565" w:type="dxa"/>
            <w:vMerge w:val="restart"/>
            <w:tcBorders>
              <w:top w:val="single" w:color="000000" w:sz="8" w:space="0"/>
              <w:left w:val="single" w:color="000000" w:sz="8" w:space="0"/>
              <w:bottom w:val="nil"/>
              <w:right w:val="single" w:color="000000" w:sz="8" w:space="0"/>
            </w:tcBorders>
            <w:vAlign w:val="bottom"/>
          </w:tcPr>
          <w:p>
            <w:pPr>
              <w:spacing w:after="0"/>
              <w:jc w:val="center"/>
            </w:pPr>
            <w:r>
              <w:rPr>
                <w:rFonts w:ascii="宋体" w:hAnsi="宋体" w:eastAsia="宋体" w:cs="宋体"/>
                <w:sz w:val="16"/>
              </w:rPr>
              <w:t>建筑市场管理科、城市与建筑设计科</w:t>
            </w:r>
          </w:p>
        </w:tc>
        <w:tc>
          <w:tcPr>
            <w:tcW w:w="1094" w:type="dxa"/>
            <w:vMerge w:val="restart"/>
            <w:tcBorders>
              <w:top w:val="single" w:color="000000" w:sz="8" w:space="0"/>
              <w:left w:val="single" w:color="000000" w:sz="8" w:space="0"/>
              <w:bottom w:val="nil"/>
              <w:right w:val="single" w:color="000000" w:sz="8" w:space="0"/>
            </w:tcBorders>
            <w:vAlign w:val="bottom"/>
          </w:tcPr>
          <w:p>
            <w:pPr>
              <w:spacing w:after="0"/>
            </w:pPr>
            <w:r>
              <w:rPr>
                <w:rFonts w:ascii="宋体" w:hAnsi="宋体" w:eastAsia="宋体" w:cs="宋体"/>
                <w:sz w:val="16"/>
              </w:rPr>
              <w:t>勘察、设计为设计科；    施工、监理为</w:t>
            </w:r>
          </w:p>
        </w:tc>
      </w:tr>
      <w:tr>
        <w:tblPrEx>
          <w:tblCellMar>
            <w:top w:w="1" w:type="dxa"/>
            <w:left w:w="29" w:type="dxa"/>
            <w:bottom w:w="1" w:type="dxa"/>
            <w:right w:w="42" w:type="dxa"/>
          </w:tblCellMar>
        </w:tblPrEx>
        <w:trPr>
          <w:trHeight w:val="201" w:hRule="atLeast"/>
        </w:trPr>
        <w:tc>
          <w:tcPr>
            <w:tcW w:w="662" w:type="dxa"/>
            <w:tcBorders>
              <w:top w:val="single" w:color="000000" w:sz="8" w:space="0"/>
              <w:left w:val="single" w:color="000000" w:sz="8" w:space="0"/>
              <w:bottom w:val="nil"/>
              <w:right w:val="single" w:color="000000" w:sz="8" w:space="0"/>
            </w:tcBorders>
          </w:tcPr>
          <w:p>
            <w:pPr>
              <w:spacing w:after="0"/>
            </w:pPr>
          </w:p>
        </w:tc>
        <w:tc>
          <w:tcPr>
            <w:tcW w:w="7687" w:type="dxa"/>
            <w:tcBorders>
              <w:top w:val="single" w:color="000000" w:sz="8" w:space="0"/>
              <w:left w:val="single" w:color="000000" w:sz="8" w:space="0"/>
              <w:bottom w:val="nil"/>
              <w:right w:val="single" w:color="000000" w:sz="8" w:space="0"/>
            </w:tcBorders>
          </w:tcPr>
          <w:p>
            <w:pPr>
              <w:spacing w:after="0"/>
            </w:pPr>
          </w:p>
        </w:tc>
        <w:tc>
          <w:tcPr>
            <w:tcW w:w="4766" w:type="dxa"/>
            <w:tcBorders>
              <w:top w:val="single" w:color="000000" w:sz="8" w:space="0"/>
              <w:left w:val="single" w:color="000000" w:sz="8" w:space="0"/>
              <w:bottom w:val="nil"/>
              <w:right w:val="single" w:color="000000" w:sz="8" w:space="0"/>
            </w:tcBorders>
          </w:tcPr>
          <w:p>
            <w:pPr>
              <w:spacing w:after="0"/>
            </w:pPr>
          </w:p>
        </w:tc>
        <w:tc>
          <w:tcPr>
            <w:tcW w:w="0" w:type="auto"/>
            <w:vMerge w:val="continue"/>
            <w:tcBorders>
              <w:top w:val="nil"/>
              <w:left w:val="single" w:color="000000" w:sz="8" w:space="0"/>
              <w:bottom w:val="nil"/>
              <w:right w:val="single" w:color="000000" w:sz="8" w:space="0"/>
            </w:tcBorders>
          </w:tcPr>
          <w:p>
            <w:pPr>
              <w:spacing w:after="0"/>
            </w:pPr>
          </w:p>
        </w:tc>
        <w:tc>
          <w:tcPr>
            <w:tcW w:w="0" w:type="auto"/>
            <w:vMerge w:val="continue"/>
            <w:tcBorders>
              <w:top w:val="nil"/>
              <w:left w:val="single" w:color="000000" w:sz="8" w:space="0"/>
              <w:bottom w:val="nil"/>
              <w:right w:val="single" w:color="000000" w:sz="8" w:space="0"/>
            </w:tcBorders>
          </w:tcPr>
          <w:p>
            <w:pPr>
              <w:spacing w:after="0"/>
            </w:pPr>
          </w:p>
        </w:tc>
      </w:tr>
      <w:tr>
        <w:tblPrEx>
          <w:tblCellMar>
            <w:top w:w="1" w:type="dxa"/>
            <w:left w:w="29" w:type="dxa"/>
            <w:bottom w:w="1" w:type="dxa"/>
            <w:right w:w="42" w:type="dxa"/>
          </w:tblCellMar>
        </w:tblPrEx>
        <w:trPr>
          <w:trHeight w:val="341" w:hRule="atLeast"/>
        </w:trPr>
        <w:tc>
          <w:tcPr>
            <w:tcW w:w="662" w:type="dxa"/>
            <w:tcBorders>
              <w:top w:val="nil"/>
              <w:left w:val="single" w:color="000000" w:sz="8" w:space="0"/>
              <w:bottom w:val="single" w:color="000000" w:sz="8" w:space="0"/>
              <w:right w:val="single" w:color="000000" w:sz="8" w:space="0"/>
            </w:tcBorders>
          </w:tcPr>
          <w:p>
            <w:pPr>
              <w:spacing w:after="0"/>
              <w:ind w:left="30"/>
              <w:jc w:val="center"/>
            </w:pPr>
            <w:r>
              <w:rPr>
                <w:rFonts w:ascii="宋体" w:hAnsi="宋体" w:eastAsia="宋体" w:cs="宋体"/>
                <w:sz w:val="16"/>
              </w:rPr>
              <w:t>206</w:t>
            </w:r>
          </w:p>
        </w:tc>
        <w:tc>
          <w:tcPr>
            <w:tcW w:w="7687" w:type="dxa"/>
            <w:tcBorders>
              <w:top w:val="nil"/>
              <w:left w:val="single" w:color="000000" w:sz="8" w:space="0"/>
              <w:bottom w:val="single" w:color="000000" w:sz="8" w:space="0"/>
              <w:right w:val="single" w:color="000000" w:sz="8" w:space="0"/>
            </w:tcBorders>
          </w:tcPr>
          <w:p>
            <w:pPr>
              <w:spacing w:after="0"/>
              <w:ind w:left="27"/>
              <w:jc w:val="center"/>
            </w:pPr>
            <w:r>
              <w:rPr>
                <w:rFonts w:ascii="宋体" w:hAnsi="宋体" w:eastAsia="宋体" w:cs="宋体"/>
                <w:sz w:val="16"/>
              </w:rPr>
              <w:t>勘察、设计、施工、工程监理单位允许其他单位或者个人以本单位名义承揽工程的处罚</w:t>
            </w:r>
          </w:p>
        </w:tc>
        <w:tc>
          <w:tcPr>
            <w:tcW w:w="4766" w:type="dxa"/>
            <w:tcBorders>
              <w:top w:val="nil"/>
              <w:left w:val="single" w:color="000000" w:sz="8" w:space="0"/>
              <w:bottom w:val="single" w:color="000000" w:sz="8" w:space="0"/>
              <w:right w:val="single" w:color="000000" w:sz="8" w:space="0"/>
            </w:tcBorders>
          </w:tcPr>
          <w:p>
            <w:pPr>
              <w:spacing w:after="0"/>
              <w:ind w:left="26"/>
              <w:jc w:val="center"/>
            </w:pPr>
            <w:r>
              <w:rPr>
                <w:rFonts w:ascii="宋体" w:hAnsi="宋体" w:eastAsia="宋体" w:cs="宋体"/>
                <w:sz w:val="16"/>
              </w:rPr>
              <w:t>《建设工程质量管理条例》（国务院令第279号）</w:t>
            </w:r>
          </w:p>
        </w:tc>
        <w:tc>
          <w:tcPr>
            <w:tcW w:w="1565" w:type="dxa"/>
            <w:tcBorders>
              <w:top w:val="nil"/>
              <w:left w:val="single" w:color="000000" w:sz="8" w:space="0"/>
              <w:bottom w:val="single" w:color="000000" w:sz="8" w:space="0"/>
              <w:right w:val="single" w:color="000000" w:sz="8" w:space="0"/>
            </w:tcBorders>
          </w:tcPr>
          <w:p>
            <w:pPr>
              <w:spacing w:after="0"/>
            </w:pPr>
          </w:p>
        </w:tc>
        <w:tc>
          <w:tcPr>
            <w:tcW w:w="1094" w:type="dxa"/>
            <w:tcBorders>
              <w:top w:val="nil"/>
              <w:left w:val="single" w:color="000000" w:sz="8" w:space="0"/>
              <w:bottom w:val="single" w:color="000000" w:sz="8" w:space="0"/>
              <w:right w:val="single" w:color="000000" w:sz="8" w:space="0"/>
            </w:tcBorders>
          </w:tcPr>
          <w:p>
            <w:pPr>
              <w:spacing w:after="0"/>
            </w:pPr>
            <w:r>
              <w:rPr>
                <w:rFonts w:ascii="宋体" w:hAnsi="宋体" w:eastAsia="宋体" w:cs="宋体"/>
                <w:sz w:val="16"/>
              </w:rPr>
              <w:t>建管科</w:t>
            </w:r>
          </w:p>
        </w:tc>
      </w:tr>
      <w:tr>
        <w:tblPrEx>
          <w:tblCellMar>
            <w:top w:w="1" w:type="dxa"/>
            <w:left w:w="29" w:type="dxa"/>
            <w:bottom w:w="1" w:type="dxa"/>
            <w:right w:w="4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0"/>
              <w:jc w:val="center"/>
            </w:pPr>
            <w:r>
              <w:rPr>
                <w:rFonts w:ascii="宋体" w:hAnsi="宋体" w:eastAsia="宋体" w:cs="宋体"/>
                <w:sz w:val="16"/>
              </w:rPr>
              <w:t>207</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1"/>
              <w:jc w:val="center"/>
            </w:pPr>
            <w:r>
              <w:rPr>
                <w:rFonts w:ascii="宋体" w:hAnsi="宋体" w:eastAsia="宋体" w:cs="宋体"/>
                <w:sz w:val="16"/>
              </w:rPr>
              <w:t>承包单位将承包的工程转包或者违法分包的处罚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26"/>
              <w:jc w:val="center"/>
            </w:pPr>
            <w:r>
              <w:rPr>
                <w:rFonts w:ascii="宋体" w:hAnsi="宋体" w:eastAsia="宋体" w:cs="宋体"/>
                <w:sz w:val="16"/>
              </w:rPr>
              <w:t>《建设工程质量管理条例》（国务院令第279号）</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199"/>
            </w:pPr>
            <w:r>
              <w:rPr>
                <w:rFonts w:ascii="宋体" w:hAnsi="宋体" w:eastAsia="宋体" w:cs="宋体"/>
                <w:sz w:val="16"/>
              </w:rPr>
              <w:t>建筑市场管理科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1" w:type="dxa"/>
            <w:left w:w="29" w:type="dxa"/>
            <w:bottom w:w="1" w:type="dxa"/>
            <w:right w:w="4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0"/>
              <w:jc w:val="center"/>
            </w:pPr>
            <w:r>
              <w:rPr>
                <w:rFonts w:ascii="宋体" w:hAnsi="宋体" w:eastAsia="宋体" w:cs="宋体"/>
                <w:sz w:val="16"/>
              </w:rPr>
              <w:t>208</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29"/>
              <w:jc w:val="center"/>
            </w:pPr>
            <w:r>
              <w:rPr>
                <w:rFonts w:ascii="宋体" w:hAnsi="宋体" w:eastAsia="宋体" w:cs="宋体"/>
                <w:sz w:val="16"/>
              </w:rPr>
              <w:t>工程监理单位转让工程监理业务的处罚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26"/>
              <w:jc w:val="center"/>
            </w:pPr>
            <w:r>
              <w:rPr>
                <w:rFonts w:ascii="宋体" w:hAnsi="宋体" w:eastAsia="宋体" w:cs="宋体"/>
                <w:sz w:val="16"/>
              </w:rPr>
              <w:t>《建设工程质量管理条例》（国务院令第279号）</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199"/>
            </w:pPr>
            <w:r>
              <w:rPr>
                <w:rFonts w:ascii="宋体" w:hAnsi="宋体" w:eastAsia="宋体" w:cs="宋体"/>
                <w:sz w:val="16"/>
              </w:rPr>
              <w:t>建筑市场管理科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1" w:type="dxa"/>
            <w:left w:w="29" w:type="dxa"/>
            <w:bottom w:w="1" w:type="dxa"/>
            <w:right w:w="4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0"/>
              <w:jc w:val="center"/>
            </w:pPr>
            <w:r>
              <w:rPr>
                <w:rFonts w:ascii="宋体" w:hAnsi="宋体" w:eastAsia="宋体" w:cs="宋体"/>
                <w:sz w:val="16"/>
              </w:rPr>
              <w:t>209</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勘察单位未按照工程建设强制性标准进行勘察；设计单位未根据勘察成果文件进行工程设计；设计单位指定建筑材料、建筑构配件的生产厂、供应商；设计单位未按照工程建设强制性标准进行设计的处罚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26"/>
              <w:jc w:val="center"/>
            </w:pPr>
            <w:r>
              <w:rPr>
                <w:rFonts w:ascii="宋体" w:hAnsi="宋体" w:eastAsia="宋体" w:cs="宋体"/>
                <w:sz w:val="16"/>
              </w:rPr>
              <w:t>《建设工程质量管理条例》（国务院令第279号）</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117"/>
              <w:jc w:val="both"/>
            </w:pPr>
            <w:r>
              <w:rPr>
                <w:rFonts w:ascii="宋体" w:hAnsi="宋体" w:eastAsia="宋体" w:cs="宋体"/>
                <w:sz w:val="16"/>
              </w:rPr>
              <w:t>城市与建筑设计科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1" w:type="dxa"/>
            <w:left w:w="29" w:type="dxa"/>
            <w:bottom w:w="1" w:type="dxa"/>
            <w:right w:w="4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0"/>
              <w:jc w:val="center"/>
            </w:pPr>
            <w:r>
              <w:rPr>
                <w:rFonts w:ascii="宋体" w:hAnsi="宋体" w:eastAsia="宋体" w:cs="宋体"/>
                <w:sz w:val="16"/>
              </w:rPr>
              <w:t>210</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施工单位在施工中偷工减料；使用不合格的建筑材料、建筑构配件和设备；有不按照工程设计图纸或者施工技术标准施工的其他行为的处罚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26"/>
              <w:jc w:val="center"/>
            </w:pPr>
            <w:r>
              <w:rPr>
                <w:rFonts w:ascii="宋体" w:hAnsi="宋体" w:eastAsia="宋体" w:cs="宋体"/>
                <w:sz w:val="16"/>
              </w:rPr>
              <w:t>《建设工程质量管理条例》（国务院令第279号）</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2"/>
              <w:jc w:val="both"/>
            </w:pPr>
            <w:r>
              <w:rPr>
                <w:rFonts w:ascii="宋体" w:hAnsi="宋体" w:eastAsia="宋体" w:cs="宋体"/>
                <w:sz w:val="16"/>
              </w:rPr>
              <w:t>工程质量安全管理科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1" w:type="dxa"/>
            <w:left w:w="29" w:type="dxa"/>
            <w:bottom w:w="1" w:type="dxa"/>
            <w:right w:w="4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0"/>
              <w:jc w:val="center"/>
            </w:pPr>
            <w:r>
              <w:rPr>
                <w:rFonts w:ascii="宋体" w:hAnsi="宋体" w:eastAsia="宋体" w:cs="宋体"/>
                <w:sz w:val="16"/>
              </w:rPr>
              <w:t>211</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施工单位未对建筑材料、建筑构配件、设备和商品混凝土进行检验；未对涉及结构安全的试块、试件以及有关材料取样检测的处罚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26"/>
              <w:jc w:val="center"/>
            </w:pPr>
            <w:r>
              <w:rPr>
                <w:rFonts w:ascii="宋体" w:hAnsi="宋体" w:eastAsia="宋体" w:cs="宋体"/>
                <w:sz w:val="16"/>
              </w:rPr>
              <w:t>《建设工程质量管理条例》（国务院令第279号）</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2"/>
              <w:jc w:val="both"/>
            </w:pPr>
            <w:r>
              <w:rPr>
                <w:rFonts w:ascii="宋体" w:hAnsi="宋体" w:eastAsia="宋体" w:cs="宋体"/>
                <w:sz w:val="16"/>
              </w:rPr>
              <w:t>工程质量安全管理科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1" w:type="dxa"/>
            <w:left w:w="29" w:type="dxa"/>
            <w:bottom w:w="1" w:type="dxa"/>
            <w:right w:w="4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0"/>
              <w:jc w:val="center"/>
            </w:pPr>
            <w:r>
              <w:rPr>
                <w:rFonts w:ascii="宋体" w:hAnsi="宋体" w:eastAsia="宋体" w:cs="宋体"/>
                <w:sz w:val="16"/>
              </w:rPr>
              <w:t>212</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工程监理单位与被监理工程的施工承包单位以及建筑材料、建筑构配件和设备供应单位有隶属关系或者其他利害关系承担该项建设工程的监理业务的处罚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26"/>
              <w:jc w:val="center"/>
            </w:pPr>
            <w:r>
              <w:rPr>
                <w:rFonts w:ascii="宋体" w:hAnsi="宋体" w:eastAsia="宋体" w:cs="宋体"/>
                <w:sz w:val="16"/>
              </w:rPr>
              <w:t>《建设工程质量管理条例》（国务院令第279号）</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2"/>
              <w:jc w:val="both"/>
            </w:pPr>
            <w:r>
              <w:rPr>
                <w:rFonts w:ascii="宋体" w:hAnsi="宋体" w:eastAsia="宋体" w:cs="宋体"/>
                <w:sz w:val="16"/>
              </w:rPr>
              <w:t>工程质量安全管理科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1" w:type="dxa"/>
            <w:left w:w="29" w:type="dxa"/>
            <w:bottom w:w="1" w:type="dxa"/>
            <w:right w:w="4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0"/>
              <w:jc w:val="center"/>
            </w:pPr>
            <w:r>
              <w:rPr>
                <w:rFonts w:ascii="宋体" w:hAnsi="宋体" w:eastAsia="宋体" w:cs="宋体"/>
                <w:sz w:val="16"/>
              </w:rPr>
              <w:t>213</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29"/>
              <w:jc w:val="center"/>
            </w:pPr>
            <w:r>
              <w:rPr>
                <w:rFonts w:ascii="宋体" w:hAnsi="宋体" w:eastAsia="宋体" w:cs="宋体"/>
                <w:sz w:val="16"/>
              </w:rPr>
              <w:t>涉及建筑主体或者承重结构变动的装修工程，没有设计方案擅自施工的处罚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26"/>
              <w:jc w:val="center"/>
            </w:pPr>
            <w:r>
              <w:rPr>
                <w:rFonts w:ascii="宋体" w:hAnsi="宋体" w:eastAsia="宋体" w:cs="宋体"/>
                <w:sz w:val="16"/>
              </w:rPr>
              <w:t>《建设工程质量管理条例》（国务院令第279号）</w:t>
            </w:r>
          </w:p>
        </w:tc>
        <w:tc>
          <w:tcPr>
            <w:tcW w:w="1565" w:type="dxa"/>
            <w:vMerge w:val="restart"/>
            <w:tcBorders>
              <w:top w:val="single" w:color="000000" w:sz="8" w:space="0"/>
              <w:left w:val="single" w:color="000000" w:sz="8" w:space="0"/>
              <w:bottom w:val="nil"/>
              <w:right w:val="single" w:color="000000" w:sz="8" w:space="0"/>
            </w:tcBorders>
            <w:vAlign w:val="bottom"/>
          </w:tcPr>
          <w:p>
            <w:pPr>
              <w:spacing w:after="0"/>
              <w:jc w:val="center"/>
            </w:pPr>
            <w:r>
              <w:rPr>
                <w:rFonts w:ascii="宋体" w:hAnsi="宋体" w:eastAsia="宋体" w:cs="宋体"/>
                <w:sz w:val="16"/>
              </w:rPr>
              <w:t>科技与标准科负责公共建筑装修；物业管理科负责住宅室内装</w:t>
            </w:r>
          </w:p>
        </w:tc>
        <w:tc>
          <w:tcPr>
            <w:tcW w:w="1094" w:type="dxa"/>
            <w:vMerge w:val="restart"/>
            <w:tcBorders>
              <w:top w:val="single" w:color="000000" w:sz="8" w:space="0"/>
              <w:left w:val="single" w:color="000000" w:sz="8" w:space="0"/>
              <w:bottom w:val="nil"/>
              <w:right w:val="single" w:color="000000" w:sz="8" w:space="0"/>
            </w:tcBorders>
          </w:tcPr>
          <w:p>
            <w:pPr>
              <w:spacing w:after="0"/>
            </w:pPr>
          </w:p>
        </w:tc>
      </w:tr>
      <w:tr>
        <w:tblPrEx>
          <w:tblCellMar>
            <w:top w:w="1" w:type="dxa"/>
            <w:left w:w="29" w:type="dxa"/>
            <w:bottom w:w="1" w:type="dxa"/>
            <w:right w:w="42" w:type="dxa"/>
          </w:tblCellMar>
        </w:tblPrEx>
        <w:trPr>
          <w:trHeight w:val="212" w:hRule="atLeast"/>
        </w:trPr>
        <w:tc>
          <w:tcPr>
            <w:tcW w:w="662" w:type="dxa"/>
            <w:tcBorders>
              <w:top w:val="single" w:color="000000" w:sz="8" w:space="0"/>
              <w:left w:val="single" w:color="000000" w:sz="8" w:space="0"/>
              <w:bottom w:val="nil"/>
              <w:right w:val="single" w:color="000000" w:sz="8" w:space="0"/>
            </w:tcBorders>
          </w:tcPr>
          <w:p>
            <w:pPr>
              <w:spacing w:after="0"/>
            </w:pPr>
          </w:p>
        </w:tc>
        <w:tc>
          <w:tcPr>
            <w:tcW w:w="7687" w:type="dxa"/>
            <w:tcBorders>
              <w:top w:val="single" w:color="000000" w:sz="8" w:space="0"/>
              <w:left w:val="single" w:color="000000" w:sz="8" w:space="0"/>
              <w:bottom w:val="nil"/>
              <w:right w:val="single" w:color="000000" w:sz="8" w:space="0"/>
            </w:tcBorders>
          </w:tcPr>
          <w:p>
            <w:pPr>
              <w:spacing w:after="0"/>
            </w:pPr>
          </w:p>
        </w:tc>
        <w:tc>
          <w:tcPr>
            <w:tcW w:w="4766" w:type="dxa"/>
            <w:tcBorders>
              <w:top w:val="single" w:color="000000" w:sz="8" w:space="0"/>
              <w:left w:val="single" w:color="000000" w:sz="8" w:space="0"/>
              <w:bottom w:val="nil"/>
              <w:right w:val="single" w:color="000000" w:sz="8" w:space="0"/>
            </w:tcBorders>
          </w:tcPr>
          <w:p>
            <w:pPr>
              <w:spacing w:after="0"/>
            </w:pPr>
          </w:p>
        </w:tc>
        <w:tc>
          <w:tcPr>
            <w:tcW w:w="0" w:type="auto"/>
            <w:vMerge w:val="continue"/>
            <w:tcBorders>
              <w:top w:val="nil"/>
              <w:left w:val="single" w:color="000000" w:sz="8" w:space="0"/>
              <w:bottom w:val="nil"/>
              <w:right w:val="single" w:color="000000" w:sz="8" w:space="0"/>
            </w:tcBorders>
          </w:tcPr>
          <w:p>
            <w:pPr>
              <w:spacing w:after="0"/>
            </w:pPr>
          </w:p>
        </w:tc>
        <w:tc>
          <w:tcPr>
            <w:tcW w:w="0" w:type="auto"/>
            <w:vMerge w:val="continue"/>
            <w:tcBorders>
              <w:top w:val="nil"/>
              <w:left w:val="single" w:color="000000" w:sz="8" w:space="0"/>
              <w:bottom w:val="nil"/>
              <w:right w:val="single" w:color="000000" w:sz="8" w:space="0"/>
            </w:tcBorders>
          </w:tcPr>
          <w:p>
            <w:pPr>
              <w:spacing w:after="0"/>
            </w:pPr>
          </w:p>
        </w:tc>
      </w:tr>
      <w:tr>
        <w:tblPrEx>
          <w:tblCellMar>
            <w:top w:w="1" w:type="dxa"/>
            <w:left w:w="29" w:type="dxa"/>
            <w:bottom w:w="1" w:type="dxa"/>
            <w:right w:w="42" w:type="dxa"/>
          </w:tblCellMar>
        </w:tblPrEx>
        <w:trPr>
          <w:trHeight w:val="407" w:hRule="atLeast"/>
        </w:trPr>
        <w:tc>
          <w:tcPr>
            <w:tcW w:w="662" w:type="dxa"/>
            <w:tcBorders>
              <w:top w:val="nil"/>
              <w:left w:val="single" w:color="000000" w:sz="8" w:space="0"/>
              <w:bottom w:val="single" w:color="000000" w:sz="8" w:space="0"/>
              <w:right w:val="single" w:color="000000" w:sz="8" w:space="0"/>
            </w:tcBorders>
          </w:tcPr>
          <w:p>
            <w:pPr>
              <w:spacing w:after="0"/>
              <w:ind w:left="30"/>
              <w:jc w:val="center"/>
            </w:pPr>
            <w:r>
              <w:rPr>
                <w:rFonts w:ascii="宋体" w:hAnsi="宋体" w:eastAsia="宋体" w:cs="宋体"/>
                <w:sz w:val="16"/>
              </w:rPr>
              <w:t>214</w:t>
            </w:r>
          </w:p>
        </w:tc>
        <w:tc>
          <w:tcPr>
            <w:tcW w:w="7687" w:type="dxa"/>
            <w:tcBorders>
              <w:top w:val="nil"/>
              <w:left w:val="single" w:color="000000" w:sz="8" w:space="0"/>
              <w:bottom w:val="single" w:color="000000" w:sz="8" w:space="0"/>
              <w:right w:val="single" w:color="000000" w:sz="8" w:space="0"/>
            </w:tcBorders>
          </w:tcPr>
          <w:p>
            <w:pPr>
              <w:spacing w:after="0"/>
              <w:ind w:left="27"/>
              <w:jc w:val="center"/>
            </w:pPr>
            <w:r>
              <w:rPr>
                <w:rFonts w:ascii="宋体" w:hAnsi="宋体" w:eastAsia="宋体" w:cs="宋体"/>
                <w:sz w:val="16"/>
              </w:rPr>
              <w:t>房屋建筑使用者在装修过程中擅自变动房屋建筑主体和承重结构的处罚</w:t>
            </w:r>
          </w:p>
        </w:tc>
        <w:tc>
          <w:tcPr>
            <w:tcW w:w="4766" w:type="dxa"/>
            <w:tcBorders>
              <w:top w:val="nil"/>
              <w:left w:val="single" w:color="000000" w:sz="8" w:space="0"/>
              <w:bottom w:val="single" w:color="000000" w:sz="8" w:space="0"/>
              <w:right w:val="single" w:color="000000" w:sz="8" w:space="0"/>
            </w:tcBorders>
          </w:tcPr>
          <w:p>
            <w:pPr>
              <w:spacing w:after="0"/>
              <w:ind w:left="26"/>
              <w:jc w:val="center"/>
            </w:pPr>
            <w:r>
              <w:rPr>
                <w:rFonts w:ascii="宋体" w:hAnsi="宋体" w:eastAsia="宋体" w:cs="宋体"/>
                <w:sz w:val="16"/>
              </w:rPr>
              <w:t>《建设工程质量管理条例》（国务院令第279号）</w:t>
            </w:r>
          </w:p>
        </w:tc>
        <w:tc>
          <w:tcPr>
            <w:tcW w:w="1565" w:type="dxa"/>
            <w:tcBorders>
              <w:top w:val="nil"/>
              <w:left w:val="single" w:color="000000" w:sz="8" w:space="0"/>
              <w:bottom w:val="single" w:color="000000" w:sz="8" w:space="0"/>
              <w:right w:val="single" w:color="000000" w:sz="8" w:space="0"/>
            </w:tcBorders>
          </w:tcPr>
          <w:p>
            <w:pPr>
              <w:spacing w:after="0"/>
              <w:ind w:left="28"/>
              <w:jc w:val="center"/>
            </w:pPr>
            <w:r>
              <w:rPr>
                <w:rFonts w:ascii="宋体" w:hAnsi="宋体" w:eastAsia="宋体" w:cs="宋体"/>
                <w:sz w:val="16"/>
              </w:rPr>
              <w:t>修</w:t>
            </w:r>
          </w:p>
        </w:tc>
        <w:tc>
          <w:tcPr>
            <w:tcW w:w="1094" w:type="dxa"/>
            <w:tcBorders>
              <w:top w:val="nil"/>
              <w:left w:val="single" w:color="000000" w:sz="8" w:space="0"/>
              <w:bottom w:val="single" w:color="000000" w:sz="8" w:space="0"/>
              <w:right w:val="single" w:color="000000" w:sz="8" w:space="0"/>
            </w:tcBorders>
          </w:tcPr>
          <w:p>
            <w:pPr>
              <w:spacing w:after="0"/>
            </w:pPr>
          </w:p>
        </w:tc>
      </w:tr>
      <w:tr>
        <w:tblPrEx>
          <w:tblCellMar>
            <w:top w:w="1" w:type="dxa"/>
            <w:left w:w="29" w:type="dxa"/>
            <w:bottom w:w="1" w:type="dxa"/>
            <w:right w:w="4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0"/>
              <w:jc w:val="center"/>
            </w:pPr>
            <w:r>
              <w:rPr>
                <w:rFonts w:ascii="宋体" w:hAnsi="宋体" w:eastAsia="宋体" w:cs="宋体"/>
                <w:sz w:val="16"/>
              </w:rPr>
              <w:t>215</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28"/>
              <w:jc w:val="center"/>
            </w:pPr>
            <w:r>
              <w:rPr>
                <w:rFonts w:ascii="宋体" w:hAnsi="宋体" w:eastAsia="宋体" w:cs="宋体"/>
                <w:sz w:val="16"/>
              </w:rPr>
              <w:t>建设单位采用欺骗、贿赂等不正当手段取得施工许可证的处罚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105"/>
              <w:jc w:val="both"/>
            </w:pPr>
            <w:r>
              <w:rPr>
                <w:rFonts w:ascii="宋体" w:hAnsi="宋体" w:eastAsia="宋体" w:cs="宋体"/>
                <w:sz w:val="16"/>
              </w:rPr>
              <w:t>《建筑工程施工许可管理办法》（住房和城乡建设部令第18号）</w:t>
            </w:r>
          </w:p>
        </w:tc>
        <w:tc>
          <w:tcPr>
            <w:tcW w:w="1565" w:type="dxa"/>
            <w:vMerge w:val="restart"/>
            <w:tcBorders>
              <w:top w:val="single" w:color="000000" w:sz="8" w:space="0"/>
              <w:left w:val="single" w:color="000000" w:sz="8" w:space="0"/>
              <w:bottom w:val="nil"/>
              <w:right w:val="single" w:color="000000" w:sz="8" w:space="0"/>
            </w:tcBorders>
            <w:vAlign w:val="bottom"/>
          </w:tcPr>
          <w:p>
            <w:pPr>
              <w:spacing w:after="0"/>
              <w:ind w:left="199"/>
            </w:pPr>
            <w:r>
              <w:rPr>
                <w:rFonts w:ascii="宋体" w:hAnsi="宋体" w:eastAsia="宋体" w:cs="宋体"/>
                <w:sz w:val="16"/>
              </w:rPr>
              <w:t>行政审批服务科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1" w:type="dxa"/>
            <w:left w:w="29" w:type="dxa"/>
            <w:bottom w:w="1" w:type="dxa"/>
            <w:right w:w="42" w:type="dxa"/>
          </w:tblCellMar>
        </w:tblPrEx>
        <w:trPr>
          <w:trHeight w:val="165" w:hRule="atLeast"/>
        </w:trPr>
        <w:tc>
          <w:tcPr>
            <w:tcW w:w="662" w:type="dxa"/>
            <w:tcBorders>
              <w:top w:val="single" w:color="000000" w:sz="8" w:space="0"/>
              <w:left w:val="single" w:color="000000" w:sz="8" w:space="0"/>
              <w:bottom w:val="nil"/>
              <w:right w:val="single" w:color="000000" w:sz="8" w:space="0"/>
            </w:tcBorders>
          </w:tcPr>
          <w:p>
            <w:pPr>
              <w:spacing w:after="0"/>
            </w:pPr>
          </w:p>
        </w:tc>
        <w:tc>
          <w:tcPr>
            <w:tcW w:w="7687" w:type="dxa"/>
            <w:tcBorders>
              <w:top w:val="single" w:color="000000" w:sz="8" w:space="0"/>
              <w:left w:val="single" w:color="000000" w:sz="8" w:space="0"/>
              <w:bottom w:val="nil"/>
              <w:right w:val="single" w:color="000000" w:sz="8" w:space="0"/>
            </w:tcBorders>
          </w:tcPr>
          <w:p>
            <w:pPr>
              <w:spacing w:after="0"/>
            </w:pPr>
          </w:p>
        </w:tc>
        <w:tc>
          <w:tcPr>
            <w:tcW w:w="4766" w:type="dxa"/>
            <w:tcBorders>
              <w:top w:val="single" w:color="000000" w:sz="8" w:space="0"/>
              <w:left w:val="single" w:color="000000" w:sz="8" w:space="0"/>
              <w:bottom w:val="nil"/>
              <w:right w:val="single" w:color="000000" w:sz="8" w:space="0"/>
            </w:tcBorders>
          </w:tcPr>
          <w:p>
            <w:pPr>
              <w:spacing w:after="0"/>
            </w:pP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nil"/>
              <w:right w:val="single" w:color="000000" w:sz="8" w:space="0"/>
            </w:tcBorders>
          </w:tcPr>
          <w:p>
            <w:pPr>
              <w:spacing w:after="0"/>
            </w:pPr>
          </w:p>
        </w:tc>
      </w:tr>
      <w:tr>
        <w:tblPrEx>
          <w:tblCellMar>
            <w:top w:w="1" w:type="dxa"/>
            <w:left w:w="29" w:type="dxa"/>
            <w:bottom w:w="1" w:type="dxa"/>
            <w:right w:w="42" w:type="dxa"/>
          </w:tblCellMar>
        </w:tblPrEx>
        <w:trPr>
          <w:trHeight w:val="454" w:hRule="atLeast"/>
        </w:trPr>
        <w:tc>
          <w:tcPr>
            <w:tcW w:w="662" w:type="dxa"/>
            <w:tcBorders>
              <w:top w:val="nil"/>
              <w:left w:val="single" w:color="000000" w:sz="8" w:space="0"/>
              <w:bottom w:val="single" w:color="000000" w:sz="8" w:space="0"/>
              <w:right w:val="single" w:color="000000" w:sz="8" w:space="0"/>
            </w:tcBorders>
          </w:tcPr>
          <w:p>
            <w:pPr>
              <w:spacing w:after="0"/>
              <w:ind w:left="30"/>
              <w:jc w:val="center"/>
            </w:pPr>
            <w:r>
              <w:rPr>
                <w:rFonts w:ascii="宋体" w:hAnsi="宋体" w:eastAsia="宋体" w:cs="宋体"/>
                <w:sz w:val="16"/>
              </w:rPr>
              <w:t>216</w:t>
            </w:r>
          </w:p>
        </w:tc>
        <w:tc>
          <w:tcPr>
            <w:tcW w:w="7687" w:type="dxa"/>
            <w:tcBorders>
              <w:top w:val="nil"/>
              <w:left w:val="single" w:color="000000" w:sz="8" w:space="0"/>
              <w:bottom w:val="single" w:color="000000" w:sz="8" w:space="0"/>
              <w:right w:val="single" w:color="000000" w:sz="8" w:space="0"/>
            </w:tcBorders>
          </w:tcPr>
          <w:p>
            <w:pPr>
              <w:spacing w:after="0"/>
              <w:ind w:left="27"/>
              <w:jc w:val="center"/>
            </w:pPr>
            <w:r>
              <w:rPr>
                <w:rFonts w:ascii="宋体" w:hAnsi="宋体" w:eastAsia="宋体" w:cs="宋体"/>
                <w:sz w:val="16"/>
              </w:rPr>
              <w:t>建设单位隐瞒有关情况或者提供虚假材料申请施工许可证、伪造或者涂改施工许可证的处罚</w:t>
            </w:r>
          </w:p>
        </w:tc>
        <w:tc>
          <w:tcPr>
            <w:tcW w:w="4766" w:type="dxa"/>
            <w:tcBorders>
              <w:top w:val="nil"/>
              <w:left w:val="single" w:color="000000" w:sz="8" w:space="0"/>
              <w:bottom w:val="single" w:color="000000" w:sz="8" w:space="0"/>
              <w:right w:val="single" w:color="000000" w:sz="8" w:space="0"/>
            </w:tcBorders>
          </w:tcPr>
          <w:p>
            <w:pPr>
              <w:spacing w:after="0"/>
              <w:ind w:left="105"/>
              <w:jc w:val="both"/>
            </w:pPr>
            <w:r>
              <w:rPr>
                <w:rFonts w:ascii="宋体" w:hAnsi="宋体" w:eastAsia="宋体" w:cs="宋体"/>
                <w:sz w:val="16"/>
              </w:rPr>
              <w:t>《建筑工程施工许可管理办法》（住房和城乡建设部令第18号）</w:t>
            </w:r>
          </w:p>
        </w:tc>
        <w:tc>
          <w:tcPr>
            <w:tcW w:w="1565" w:type="dxa"/>
            <w:tcBorders>
              <w:top w:val="nil"/>
              <w:left w:val="single" w:color="000000" w:sz="8" w:space="0"/>
              <w:bottom w:val="single" w:color="000000" w:sz="8" w:space="0"/>
              <w:right w:val="single" w:color="000000" w:sz="8" w:space="0"/>
            </w:tcBorders>
          </w:tcPr>
          <w:p>
            <w:pPr>
              <w:spacing w:after="0"/>
            </w:pPr>
          </w:p>
        </w:tc>
        <w:tc>
          <w:tcPr>
            <w:tcW w:w="1094" w:type="dxa"/>
            <w:tcBorders>
              <w:top w:val="nil"/>
              <w:left w:val="single" w:color="000000" w:sz="8" w:space="0"/>
              <w:bottom w:val="single" w:color="000000" w:sz="8" w:space="0"/>
              <w:right w:val="single" w:color="000000" w:sz="8" w:space="0"/>
            </w:tcBorders>
          </w:tcPr>
          <w:p>
            <w:pPr>
              <w:spacing w:after="0"/>
            </w:pPr>
          </w:p>
        </w:tc>
      </w:tr>
      <w:tr>
        <w:tblPrEx>
          <w:tblCellMar>
            <w:top w:w="1" w:type="dxa"/>
            <w:left w:w="29" w:type="dxa"/>
            <w:bottom w:w="1" w:type="dxa"/>
            <w:right w:w="4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0"/>
              <w:jc w:val="center"/>
            </w:pPr>
            <w:r>
              <w:rPr>
                <w:rFonts w:ascii="宋体" w:hAnsi="宋体" w:eastAsia="宋体" w:cs="宋体"/>
                <w:sz w:val="16"/>
              </w:rPr>
              <w:t>217</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26"/>
              <w:jc w:val="center"/>
            </w:pPr>
            <w:r>
              <w:rPr>
                <w:rFonts w:ascii="宋体" w:hAnsi="宋体" w:eastAsia="宋体" w:cs="宋体"/>
                <w:sz w:val="16"/>
              </w:rPr>
              <w:t>给予单位罚款处罚的，对单位直接负责的主管人员和其他直接责任人员的处罚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《建设工程质量管理条例》（国务院令第279号）《建筑工程施工许可管理办法》（住房和城乡建设部令第18号）</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2"/>
            </w:pPr>
            <w:r>
              <w:rPr>
                <w:rFonts w:ascii="宋体" w:hAnsi="宋体" w:eastAsia="宋体" w:cs="宋体"/>
                <w:sz w:val="16"/>
              </w:rPr>
              <w:t>涉及相关条例处罚的各科室</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1" w:type="dxa"/>
            <w:left w:w="29" w:type="dxa"/>
            <w:bottom w:w="1" w:type="dxa"/>
            <w:right w:w="4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0"/>
              <w:jc w:val="center"/>
            </w:pPr>
            <w:r>
              <w:rPr>
                <w:rFonts w:ascii="宋体" w:hAnsi="宋体" w:eastAsia="宋体" w:cs="宋体"/>
                <w:sz w:val="16"/>
              </w:rPr>
              <w:t>218</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27"/>
              <w:jc w:val="center"/>
            </w:pPr>
            <w:r>
              <w:rPr>
                <w:rFonts w:ascii="宋体" w:hAnsi="宋体" w:eastAsia="宋体" w:cs="宋体"/>
                <w:sz w:val="16"/>
              </w:rPr>
              <w:t>建设单位在工程竣工验收合格之日起15日内未办理工程竣工验收备案的处罚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《房屋建筑工程和市政基础设施工程竣工验收备案管理办法》（住房和城乡建设部令第2号）</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199"/>
            </w:pPr>
            <w:r>
              <w:rPr>
                <w:rFonts w:ascii="宋体" w:hAnsi="宋体" w:eastAsia="宋体" w:cs="宋体"/>
                <w:sz w:val="16"/>
              </w:rPr>
              <w:t>行政审批服务科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bl>
    <w:p>
      <w:pPr>
        <w:spacing w:after="0"/>
        <w:ind w:left="-1440" w:right="15394"/>
      </w:pPr>
    </w:p>
    <w:tbl>
      <w:tblPr>
        <w:tblStyle w:val="7"/>
        <w:tblW w:w="15775" w:type="dxa"/>
        <w:tblInd w:w="-1080" w:type="dxa"/>
        <w:tblLayout w:type="autofit"/>
        <w:tblCellMar>
          <w:top w:w="41" w:type="dxa"/>
          <w:left w:w="31" w:type="dxa"/>
          <w:bottom w:w="15" w:type="dxa"/>
          <w:right w:w="42" w:type="dxa"/>
        </w:tblCellMar>
      </w:tblPr>
      <w:tblGrid>
        <w:gridCol w:w="662"/>
        <w:gridCol w:w="7687"/>
        <w:gridCol w:w="4766"/>
        <w:gridCol w:w="1565"/>
        <w:gridCol w:w="1095"/>
      </w:tblGrid>
      <w:tr>
        <w:tblPrEx>
          <w:tblCellMar>
            <w:top w:w="41" w:type="dxa"/>
            <w:left w:w="31" w:type="dxa"/>
            <w:bottom w:w="15" w:type="dxa"/>
            <w:right w:w="42" w:type="dxa"/>
          </w:tblCellMar>
        </w:tblPrEx>
        <w:trPr>
          <w:trHeight w:val="542"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47"/>
            </w:pPr>
            <w:r>
              <w:rPr>
                <w:rFonts w:ascii="黑体" w:hAnsi="黑体" w:eastAsia="黑体" w:cs="黑体"/>
                <w:sz w:val="16"/>
              </w:rPr>
              <w:t>序号</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24"/>
              <w:jc w:val="center"/>
            </w:pPr>
            <w:r>
              <w:rPr>
                <w:rFonts w:ascii="黑体" w:hAnsi="黑体" w:eastAsia="黑体" w:cs="黑体"/>
                <w:sz w:val="16"/>
              </w:rPr>
              <w:t>违法行为</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26"/>
              <w:jc w:val="center"/>
            </w:pPr>
            <w:r>
              <w:rPr>
                <w:rFonts w:ascii="黑体" w:hAnsi="黑体" w:eastAsia="黑体" w:cs="黑体"/>
                <w:sz w:val="16"/>
              </w:rPr>
              <w:t>行政处罚实施依据</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27"/>
              <w:jc w:val="center"/>
            </w:pPr>
            <w:r>
              <w:rPr>
                <w:rFonts w:ascii="黑体" w:hAnsi="黑体" w:eastAsia="黑体" w:cs="黑体"/>
                <w:sz w:val="16"/>
              </w:rPr>
              <w:t>责任科室</w:t>
            </w:r>
          </w:p>
        </w:tc>
        <w:tc>
          <w:tcPr>
            <w:tcW w:w="1094" w:type="dxa"/>
            <w:tcBorders>
              <w:top w:val="single" w:color="000000" w:sz="8" w:space="0"/>
              <w:left w:val="single" w:color="000000" w:sz="8" w:space="0"/>
              <w:bottom w:val="single" w:color="000000" w:sz="8" w:space="0"/>
              <w:right w:val="single" w:color="000000" w:sz="8" w:space="0"/>
            </w:tcBorders>
            <w:vAlign w:val="center"/>
          </w:tcPr>
          <w:p>
            <w:pPr>
              <w:spacing w:after="0"/>
              <w:ind w:left="26"/>
              <w:jc w:val="center"/>
            </w:pPr>
            <w:r>
              <w:rPr>
                <w:rFonts w:ascii="黑体" w:hAnsi="黑体" w:eastAsia="黑体" w:cs="黑体"/>
                <w:sz w:val="16"/>
              </w:rPr>
              <w:t>备注</w:t>
            </w:r>
          </w:p>
        </w:tc>
      </w:tr>
      <w:tr>
        <w:tblPrEx>
          <w:tblCellMar>
            <w:top w:w="41" w:type="dxa"/>
            <w:left w:w="31" w:type="dxa"/>
            <w:bottom w:w="15" w:type="dxa"/>
            <w:right w:w="4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29"/>
              <w:jc w:val="center"/>
            </w:pPr>
            <w:r>
              <w:rPr>
                <w:rFonts w:ascii="宋体" w:hAnsi="宋体" w:eastAsia="宋体" w:cs="宋体"/>
                <w:sz w:val="16"/>
              </w:rPr>
              <w:t>219</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27"/>
              <w:jc w:val="center"/>
            </w:pPr>
            <w:r>
              <w:rPr>
                <w:rFonts w:ascii="宋体" w:hAnsi="宋体" w:eastAsia="宋体" w:cs="宋体"/>
                <w:sz w:val="16"/>
              </w:rPr>
              <w:t>建设单位将备案机关决定重新组织竣工验收的工程在重新组织竣工验收前擅自使用的处罚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《房屋建筑工程和市政基础设施工程竣工验收备案管理办法》（住房和城乡建设部令第2号）</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36"/>
              <w:jc w:val="both"/>
            </w:pPr>
            <w:r>
              <w:rPr>
                <w:rFonts w:ascii="宋体" w:hAnsi="宋体" w:eastAsia="宋体" w:cs="宋体"/>
                <w:sz w:val="16"/>
              </w:rPr>
              <w:t>工程质量安全管理科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41" w:type="dxa"/>
            <w:left w:w="31" w:type="dxa"/>
            <w:bottom w:w="15" w:type="dxa"/>
            <w:right w:w="4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29"/>
              <w:jc w:val="center"/>
            </w:pPr>
            <w:r>
              <w:rPr>
                <w:rFonts w:ascii="宋体" w:hAnsi="宋体" w:eastAsia="宋体" w:cs="宋体"/>
                <w:sz w:val="16"/>
              </w:rPr>
              <w:t>220</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29"/>
              <w:jc w:val="center"/>
            </w:pPr>
            <w:r>
              <w:rPr>
                <w:rFonts w:ascii="宋体" w:hAnsi="宋体" w:eastAsia="宋体" w:cs="宋体"/>
                <w:sz w:val="16"/>
              </w:rPr>
              <w:t>建设单位采用虚假证明文件办理工程竣工验收备案的处罚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《房屋建筑工程和市政基础设施工程竣工验收备案管理办法》（住房和城乡建设部令第2号）</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197"/>
            </w:pPr>
            <w:r>
              <w:rPr>
                <w:rFonts w:ascii="宋体" w:hAnsi="宋体" w:eastAsia="宋体" w:cs="宋体"/>
                <w:sz w:val="16"/>
              </w:rPr>
              <w:t>行政审批服务科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41" w:type="dxa"/>
            <w:left w:w="31" w:type="dxa"/>
            <w:bottom w:w="15" w:type="dxa"/>
            <w:right w:w="4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29"/>
              <w:jc w:val="center"/>
            </w:pPr>
            <w:r>
              <w:rPr>
                <w:rFonts w:ascii="宋体" w:hAnsi="宋体" w:eastAsia="宋体" w:cs="宋体"/>
                <w:sz w:val="16"/>
              </w:rPr>
              <w:t>221</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26"/>
              <w:jc w:val="center"/>
            </w:pPr>
            <w:r>
              <w:rPr>
                <w:rFonts w:ascii="宋体" w:hAnsi="宋体" w:eastAsia="宋体" w:cs="宋体"/>
                <w:sz w:val="16"/>
              </w:rPr>
              <w:t>工程竣工验收后，不向建设单位出具质量保修书；质量保修的内容、期限违反规定的处罚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24"/>
              <w:jc w:val="center"/>
            </w:pPr>
            <w:r>
              <w:rPr>
                <w:rFonts w:ascii="宋体" w:hAnsi="宋体" w:eastAsia="宋体" w:cs="宋体"/>
                <w:sz w:val="16"/>
              </w:rPr>
              <w:t>《房屋建筑工程质量保修办法》（建设部令第80号）</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jc w:val="both"/>
            </w:pPr>
            <w:r>
              <w:rPr>
                <w:rFonts w:ascii="宋体" w:hAnsi="宋体" w:eastAsia="宋体" w:cs="宋体"/>
                <w:sz w:val="16"/>
              </w:rPr>
              <w:t>工程质量安全管理科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41" w:type="dxa"/>
            <w:left w:w="31" w:type="dxa"/>
            <w:bottom w:w="15" w:type="dxa"/>
            <w:right w:w="4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29"/>
              <w:jc w:val="center"/>
            </w:pPr>
            <w:r>
              <w:rPr>
                <w:rFonts w:ascii="宋体" w:hAnsi="宋体" w:eastAsia="宋体" w:cs="宋体"/>
                <w:sz w:val="16"/>
              </w:rPr>
              <w:t>222</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26"/>
              <w:jc w:val="center"/>
            </w:pPr>
            <w:r>
              <w:rPr>
                <w:rFonts w:ascii="宋体" w:hAnsi="宋体" w:eastAsia="宋体" w:cs="宋体"/>
                <w:sz w:val="16"/>
              </w:rPr>
              <w:t>未取得相应的资质，擅自承担《建设工程质量检测管理办法》规定的检测业务的处罚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26"/>
              <w:jc w:val="center"/>
            </w:pPr>
            <w:r>
              <w:rPr>
                <w:rFonts w:ascii="宋体" w:hAnsi="宋体" w:eastAsia="宋体" w:cs="宋体"/>
                <w:sz w:val="16"/>
              </w:rPr>
              <w:t>《建设工程质量检测管理办法》（建设部令第141号）</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jc w:val="both"/>
            </w:pPr>
            <w:r>
              <w:rPr>
                <w:rFonts w:ascii="宋体" w:hAnsi="宋体" w:eastAsia="宋体" w:cs="宋体"/>
                <w:sz w:val="16"/>
              </w:rPr>
              <w:t>工程质量安全管理科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41" w:type="dxa"/>
            <w:left w:w="31" w:type="dxa"/>
            <w:bottom w:w="15" w:type="dxa"/>
            <w:right w:w="42" w:type="dxa"/>
          </w:tblCellMar>
        </w:tblPrEx>
        <w:trPr>
          <w:trHeight w:val="910"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29"/>
              <w:jc w:val="center"/>
            </w:pPr>
            <w:r>
              <w:rPr>
                <w:rFonts w:ascii="宋体" w:hAnsi="宋体" w:eastAsia="宋体" w:cs="宋体"/>
                <w:sz w:val="16"/>
              </w:rPr>
              <w:t>223</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检测机构超出资质范围从事检测活动；涂改、倒卖、出租、转让资质证书；使用不符合条件的检测人员的检测机构；未按规定上报发现的违法违规行为和检测不合格事项；未按规定在检测报告上签字盖章；未按照国家有关工程建设强制性标准进行检测；档案资料管理混乱，造成检测数据无法追溯；转包检测业务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26"/>
              <w:jc w:val="center"/>
            </w:pPr>
            <w:r>
              <w:rPr>
                <w:rFonts w:ascii="宋体" w:hAnsi="宋体" w:eastAsia="宋体" w:cs="宋体"/>
                <w:sz w:val="16"/>
              </w:rPr>
              <w:t>《建设工程质量检测管理办法》（建设部令第141号）</w:t>
            </w:r>
          </w:p>
        </w:tc>
        <w:tc>
          <w:tcPr>
            <w:tcW w:w="1565" w:type="dxa"/>
            <w:vMerge w:val="restart"/>
            <w:tcBorders>
              <w:top w:val="single" w:color="000000" w:sz="8" w:space="0"/>
              <w:left w:val="single" w:color="000000" w:sz="8" w:space="0"/>
              <w:bottom w:val="single" w:color="000000" w:sz="8" w:space="0"/>
              <w:right w:val="single" w:color="000000" w:sz="8" w:space="0"/>
            </w:tcBorders>
            <w:vAlign w:val="center"/>
          </w:tcPr>
          <w:p>
            <w:pPr>
              <w:spacing w:after="0"/>
              <w:ind w:left="36"/>
              <w:jc w:val="both"/>
            </w:pPr>
            <w:r>
              <w:rPr>
                <w:rFonts w:ascii="宋体" w:hAnsi="宋体" w:eastAsia="宋体" w:cs="宋体"/>
                <w:sz w:val="16"/>
              </w:rPr>
              <w:t>工程质量安全管理科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41" w:type="dxa"/>
            <w:left w:w="31" w:type="dxa"/>
            <w:bottom w:w="15" w:type="dxa"/>
            <w:right w:w="4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29"/>
              <w:jc w:val="center"/>
            </w:pPr>
            <w:r>
              <w:rPr>
                <w:rFonts w:ascii="宋体" w:hAnsi="宋体" w:eastAsia="宋体" w:cs="宋体"/>
                <w:sz w:val="16"/>
              </w:rPr>
              <w:t>224</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28"/>
              <w:jc w:val="center"/>
            </w:pPr>
            <w:r>
              <w:rPr>
                <w:rFonts w:ascii="宋体" w:hAnsi="宋体" w:eastAsia="宋体" w:cs="宋体"/>
                <w:sz w:val="16"/>
              </w:rPr>
              <w:t>检测机构伪造检测数据，出具虚假检测报告或者鉴定结论的处罚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26"/>
              <w:jc w:val="center"/>
            </w:pPr>
            <w:r>
              <w:rPr>
                <w:rFonts w:ascii="宋体" w:hAnsi="宋体" w:eastAsia="宋体" w:cs="宋体"/>
                <w:sz w:val="16"/>
              </w:rPr>
              <w:t>《建设工程质量检测管理办法》（建设部令第141号）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41" w:type="dxa"/>
            <w:left w:w="31" w:type="dxa"/>
            <w:bottom w:w="15" w:type="dxa"/>
            <w:right w:w="4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29"/>
              <w:jc w:val="center"/>
            </w:pPr>
            <w:r>
              <w:rPr>
                <w:rFonts w:ascii="宋体" w:hAnsi="宋体" w:eastAsia="宋体" w:cs="宋体"/>
                <w:sz w:val="16"/>
              </w:rPr>
              <w:t>225</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委托方委托未取得相应资质的检测机构进行检测；明示或暗示检测机构出具虚假检测报告，篡改或伪造检测报告；弄虚作假送检试样的处罚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26"/>
              <w:jc w:val="center"/>
            </w:pPr>
            <w:r>
              <w:rPr>
                <w:rFonts w:ascii="宋体" w:hAnsi="宋体" w:eastAsia="宋体" w:cs="宋体"/>
                <w:sz w:val="16"/>
              </w:rPr>
              <w:t>《建设工程质量检测管理办法》（建设部令第141号）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41" w:type="dxa"/>
            <w:left w:w="31" w:type="dxa"/>
            <w:bottom w:w="15" w:type="dxa"/>
            <w:right w:w="4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29"/>
              <w:jc w:val="center"/>
            </w:pPr>
            <w:r>
              <w:rPr>
                <w:rFonts w:ascii="宋体" w:hAnsi="宋体" w:eastAsia="宋体" w:cs="宋体"/>
                <w:sz w:val="16"/>
              </w:rPr>
              <w:t>226</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依照建设工程质量检测管理办法规定给予检测机构罚款处罚的，对检测机构的法定代表人和其他直接责任人员的行政处罚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26"/>
              <w:jc w:val="center"/>
            </w:pPr>
            <w:r>
              <w:rPr>
                <w:rFonts w:ascii="宋体" w:hAnsi="宋体" w:eastAsia="宋体" w:cs="宋体"/>
                <w:sz w:val="16"/>
              </w:rPr>
              <w:t>《建设工程质量检测管理办法》</w:t>
            </w:r>
          </w:p>
        </w:tc>
        <w:tc>
          <w:tcPr>
            <w:tcW w:w="0" w:type="auto"/>
            <w:vMerge w:val="continue"/>
            <w:tcBorders>
              <w:top w:val="nil"/>
              <w:left w:val="single" w:color="000000" w:sz="8" w:space="0"/>
              <w:bottom w:val="single" w:color="000000" w:sz="8" w:space="0"/>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41" w:type="dxa"/>
            <w:left w:w="31" w:type="dxa"/>
            <w:bottom w:w="15" w:type="dxa"/>
            <w:right w:w="4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29"/>
              <w:jc w:val="center"/>
            </w:pPr>
            <w:r>
              <w:rPr>
                <w:rFonts w:ascii="宋体" w:hAnsi="宋体" w:eastAsia="宋体" w:cs="宋体"/>
                <w:sz w:val="16"/>
              </w:rPr>
              <w:t>227</w:t>
            </w:r>
          </w:p>
        </w:tc>
        <w:tc>
          <w:tcPr>
            <w:tcW w:w="7687" w:type="dxa"/>
            <w:tcBorders>
              <w:top w:val="single" w:color="000000" w:sz="8" w:space="0"/>
              <w:left w:val="single" w:color="000000" w:sz="8" w:space="0"/>
              <w:bottom w:val="single" w:color="000000" w:sz="8" w:space="0"/>
              <w:right w:val="single" w:color="000000" w:sz="8" w:space="0"/>
            </w:tcBorders>
          </w:tcPr>
          <w:p>
            <w:pPr>
              <w:spacing w:after="0"/>
              <w:ind w:left="77"/>
              <w:jc w:val="both"/>
            </w:pPr>
            <w:r>
              <w:rPr>
                <w:rFonts w:ascii="宋体" w:hAnsi="宋体" w:eastAsia="宋体" w:cs="宋体"/>
                <w:sz w:val="16"/>
              </w:rPr>
              <w:t>未书面通知市政工程质量主管部门或者受委托的建设工程质量监督机构对竣 工验收进行监督的；未在工程</w:t>
            </w:r>
          </w:p>
          <w:p>
            <w:pPr>
              <w:spacing w:after="0"/>
              <w:jc w:val="center"/>
            </w:pPr>
            <w:r>
              <w:rPr>
                <w:rFonts w:ascii="宋体" w:hAnsi="宋体" w:eastAsia="宋体" w:cs="宋体"/>
                <w:sz w:val="16"/>
              </w:rPr>
              <w:t>明显部位设置永久性标牌的；未将工程质量责任主体和有关单位项目负责人质量终身责任信息档案依法移交的行政处罚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27"/>
              <w:jc w:val="center"/>
            </w:pPr>
            <w:r>
              <w:rPr>
                <w:rFonts w:ascii="宋体" w:hAnsi="宋体" w:eastAsia="宋体" w:cs="宋体"/>
                <w:sz w:val="16"/>
              </w:rPr>
              <w:t>《河南省市政基础设施工程质量监督管理试行办法》</w:t>
            </w:r>
          </w:p>
        </w:tc>
        <w:tc>
          <w:tcPr>
            <w:tcW w:w="1565" w:type="dxa"/>
            <w:vMerge w:val="restart"/>
            <w:tcBorders>
              <w:top w:val="single" w:color="000000" w:sz="8" w:space="0"/>
              <w:left w:val="single" w:color="000000" w:sz="8" w:space="0"/>
              <w:bottom w:val="nil"/>
              <w:right w:val="single" w:color="000000" w:sz="8" w:space="0"/>
            </w:tcBorders>
            <w:vAlign w:val="bottom"/>
          </w:tcPr>
          <w:p>
            <w:pPr>
              <w:spacing w:after="0"/>
              <w:ind w:left="36"/>
              <w:jc w:val="both"/>
            </w:pPr>
            <w:r>
              <w:rPr>
                <w:rFonts w:ascii="宋体" w:hAnsi="宋体" w:eastAsia="宋体" w:cs="宋体"/>
                <w:sz w:val="16"/>
              </w:rPr>
              <w:t>工程质量安全管理科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41" w:type="dxa"/>
            <w:left w:w="31" w:type="dxa"/>
            <w:bottom w:w="15" w:type="dxa"/>
            <w:right w:w="4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29"/>
              <w:jc w:val="center"/>
            </w:pPr>
            <w:r>
              <w:rPr>
                <w:rFonts w:ascii="宋体" w:hAnsi="宋体" w:eastAsia="宋体" w:cs="宋体"/>
                <w:sz w:val="16"/>
              </w:rPr>
              <w:t>228</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26"/>
              <w:jc w:val="center"/>
            </w:pPr>
            <w:r>
              <w:rPr>
                <w:rFonts w:ascii="宋体" w:hAnsi="宋体" w:eastAsia="宋体" w:cs="宋体"/>
                <w:sz w:val="16"/>
              </w:rPr>
              <w:t>隐蔽工程在隐蔽前，施工单位未报请监理单位检查验收的行政处罚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27"/>
              <w:jc w:val="center"/>
            </w:pPr>
            <w:r>
              <w:rPr>
                <w:rFonts w:ascii="宋体" w:hAnsi="宋体" w:eastAsia="宋体" w:cs="宋体"/>
                <w:sz w:val="16"/>
              </w:rPr>
              <w:t>《河南省市政基础设施工程质量监督管理试行办法》</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41" w:type="dxa"/>
            <w:left w:w="31" w:type="dxa"/>
            <w:bottom w:w="15" w:type="dxa"/>
            <w:right w:w="42" w:type="dxa"/>
          </w:tblCellMar>
        </w:tblPrEx>
        <w:trPr>
          <w:trHeight w:val="166" w:hRule="atLeast"/>
        </w:trPr>
        <w:tc>
          <w:tcPr>
            <w:tcW w:w="662" w:type="dxa"/>
            <w:tcBorders>
              <w:top w:val="single" w:color="000000" w:sz="8" w:space="0"/>
              <w:left w:val="single" w:color="000000" w:sz="8" w:space="0"/>
              <w:bottom w:val="nil"/>
              <w:right w:val="single" w:color="000000" w:sz="8" w:space="0"/>
            </w:tcBorders>
          </w:tcPr>
          <w:p>
            <w:pPr>
              <w:spacing w:after="0"/>
            </w:pPr>
          </w:p>
        </w:tc>
        <w:tc>
          <w:tcPr>
            <w:tcW w:w="7687" w:type="dxa"/>
            <w:tcBorders>
              <w:top w:val="single" w:color="000000" w:sz="8" w:space="0"/>
              <w:left w:val="single" w:color="000000" w:sz="8" w:space="0"/>
              <w:bottom w:val="nil"/>
              <w:right w:val="single" w:color="000000" w:sz="8" w:space="0"/>
            </w:tcBorders>
          </w:tcPr>
          <w:p>
            <w:pPr>
              <w:spacing w:after="0"/>
            </w:pPr>
          </w:p>
        </w:tc>
        <w:tc>
          <w:tcPr>
            <w:tcW w:w="4766" w:type="dxa"/>
            <w:tcBorders>
              <w:top w:val="single" w:color="000000" w:sz="8" w:space="0"/>
              <w:left w:val="single" w:color="000000" w:sz="8" w:space="0"/>
              <w:bottom w:val="nil"/>
              <w:right w:val="single" w:color="000000" w:sz="8" w:space="0"/>
            </w:tcBorders>
          </w:tcPr>
          <w:p>
            <w:pPr>
              <w:spacing w:after="0"/>
            </w:pP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nil"/>
              <w:right w:val="single" w:color="000000" w:sz="8" w:space="0"/>
            </w:tcBorders>
          </w:tcPr>
          <w:p>
            <w:pPr>
              <w:spacing w:after="0"/>
            </w:pPr>
          </w:p>
        </w:tc>
      </w:tr>
      <w:tr>
        <w:tblPrEx>
          <w:tblCellMar>
            <w:top w:w="41" w:type="dxa"/>
            <w:left w:w="31" w:type="dxa"/>
            <w:bottom w:w="15" w:type="dxa"/>
            <w:right w:w="42" w:type="dxa"/>
          </w:tblCellMar>
        </w:tblPrEx>
        <w:trPr>
          <w:trHeight w:val="454" w:hRule="atLeast"/>
        </w:trPr>
        <w:tc>
          <w:tcPr>
            <w:tcW w:w="662" w:type="dxa"/>
            <w:tcBorders>
              <w:top w:val="nil"/>
              <w:left w:val="single" w:color="000000" w:sz="8" w:space="0"/>
              <w:bottom w:val="single" w:color="000000" w:sz="8" w:space="0"/>
              <w:right w:val="single" w:color="000000" w:sz="8" w:space="0"/>
            </w:tcBorders>
          </w:tcPr>
          <w:p>
            <w:pPr>
              <w:spacing w:after="0"/>
              <w:ind w:left="29"/>
              <w:jc w:val="center"/>
            </w:pPr>
            <w:r>
              <w:rPr>
                <w:rFonts w:ascii="宋体" w:hAnsi="宋体" w:eastAsia="宋体" w:cs="宋体"/>
                <w:sz w:val="16"/>
              </w:rPr>
              <w:t>229</w:t>
            </w:r>
          </w:p>
        </w:tc>
        <w:tc>
          <w:tcPr>
            <w:tcW w:w="7687" w:type="dxa"/>
            <w:tcBorders>
              <w:top w:val="nil"/>
              <w:left w:val="single" w:color="000000" w:sz="8" w:space="0"/>
              <w:bottom w:val="single" w:color="000000" w:sz="8" w:space="0"/>
              <w:right w:val="single" w:color="000000" w:sz="8" w:space="0"/>
            </w:tcBorders>
          </w:tcPr>
          <w:p>
            <w:pPr>
              <w:spacing w:after="0"/>
              <w:ind w:left="28"/>
              <w:jc w:val="center"/>
            </w:pPr>
            <w:r>
              <w:rPr>
                <w:rFonts w:ascii="宋体" w:hAnsi="宋体" w:eastAsia="宋体" w:cs="宋体"/>
                <w:sz w:val="16"/>
              </w:rPr>
              <w:t>市政基础设施工程中施工单位不执行监理单位停工整改要求的的行政处罚</w:t>
            </w:r>
          </w:p>
        </w:tc>
        <w:tc>
          <w:tcPr>
            <w:tcW w:w="4766" w:type="dxa"/>
            <w:tcBorders>
              <w:top w:val="nil"/>
              <w:left w:val="single" w:color="000000" w:sz="8" w:space="0"/>
              <w:bottom w:val="single" w:color="000000" w:sz="8" w:space="0"/>
              <w:right w:val="single" w:color="000000" w:sz="8" w:space="0"/>
            </w:tcBorders>
          </w:tcPr>
          <w:p>
            <w:pPr>
              <w:spacing w:after="0"/>
              <w:ind w:left="27"/>
              <w:jc w:val="center"/>
            </w:pPr>
            <w:r>
              <w:rPr>
                <w:rFonts w:ascii="宋体" w:hAnsi="宋体" w:eastAsia="宋体" w:cs="宋体"/>
                <w:sz w:val="16"/>
              </w:rPr>
              <w:t>《河南省市政基础设施工程质量监督管理试行办法》</w:t>
            </w:r>
          </w:p>
        </w:tc>
        <w:tc>
          <w:tcPr>
            <w:tcW w:w="1565" w:type="dxa"/>
            <w:vMerge w:val="restart"/>
            <w:tcBorders>
              <w:top w:val="nil"/>
              <w:left w:val="single" w:color="000000" w:sz="8" w:space="0"/>
              <w:bottom w:val="single" w:color="000000" w:sz="8" w:space="0"/>
              <w:right w:val="single" w:color="000000" w:sz="8" w:space="0"/>
            </w:tcBorders>
          </w:tcPr>
          <w:p>
            <w:pPr>
              <w:spacing w:after="0"/>
            </w:pPr>
          </w:p>
        </w:tc>
        <w:tc>
          <w:tcPr>
            <w:tcW w:w="1094" w:type="dxa"/>
            <w:tcBorders>
              <w:top w:val="nil"/>
              <w:left w:val="single" w:color="000000" w:sz="8" w:space="0"/>
              <w:bottom w:val="single" w:color="000000" w:sz="8" w:space="0"/>
              <w:right w:val="single" w:color="000000" w:sz="8" w:space="0"/>
            </w:tcBorders>
          </w:tcPr>
          <w:p>
            <w:pPr>
              <w:spacing w:after="0"/>
            </w:pPr>
          </w:p>
        </w:tc>
      </w:tr>
      <w:tr>
        <w:tblPrEx>
          <w:tblCellMar>
            <w:top w:w="41" w:type="dxa"/>
            <w:left w:w="31" w:type="dxa"/>
            <w:bottom w:w="15" w:type="dxa"/>
            <w:right w:w="4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29"/>
              <w:jc w:val="center"/>
            </w:pPr>
            <w:r>
              <w:rPr>
                <w:rFonts w:ascii="宋体" w:hAnsi="宋体" w:eastAsia="宋体" w:cs="宋体"/>
                <w:sz w:val="16"/>
              </w:rPr>
              <w:t>230</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市政基础设施工程中监理单位发现涉及工程结构安全的重大质量问题未要求施工单位立即停工 整改，或者施工单位拒不整改时未报告的行政处罚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27"/>
              <w:jc w:val="center"/>
            </w:pPr>
            <w:r>
              <w:rPr>
                <w:rFonts w:ascii="宋体" w:hAnsi="宋体" w:eastAsia="宋体" w:cs="宋体"/>
                <w:sz w:val="16"/>
              </w:rPr>
              <w:t>《河南省市政基础设施工程质量监督管理试行办法》</w:t>
            </w:r>
          </w:p>
        </w:tc>
        <w:tc>
          <w:tcPr>
            <w:tcW w:w="0" w:type="auto"/>
            <w:vMerge w:val="continue"/>
            <w:tcBorders>
              <w:top w:val="nil"/>
              <w:left w:val="single" w:color="000000" w:sz="8" w:space="0"/>
              <w:bottom w:val="single" w:color="000000" w:sz="8" w:space="0"/>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41" w:type="dxa"/>
            <w:left w:w="31" w:type="dxa"/>
            <w:bottom w:w="15" w:type="dxa"/>
            <w:right w:w="42" w:type="dxa"/>
          </w:tblCellMar>
        </w:tblPrEx>
        <w:trPr>
          <w:trHeight w:val="734"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29"/>
              <w:jc w:val="center"/>
            </w:pPr>
            <w:r>
              <w:rPr>
                <w:rFonts w:ascii="宋体" w:hAnsi="宋体" w:eastAsia="宋体" w:cs="宋体"/>
                <w:sz w:val="16"/>
              </w:rPr>
              <w:t>231</w:t>
            </w:r>
          </w:p>
        </w:tc>
        <w:tc>
          <w:tcPr>
            <w:tcW w:w="7687" w:type="dxa"/>
            <w:tcBorders>
              <w:top w:val="single" w:color="000000" w:sz="8" w:space="0"/>
              <w:left w:val="single" w:color="000000" w:sz="8" w:space="0"/>
              <w:bottom w:val="single" w:color="000000" w:sz="8" w:space="0"/>
              <w:right w:val="single" w:color="000000" w:sz="8" w:space="0"/>
            </w:tcBorders>
          </w:tcPr>
          <w:p>
            <w:pPr>
              <w:spacing w:after="0"/>
              <w:jc w:val="center"/>
            </w:pPr>
            <w:r>
              <w:rPr>
                <w:rFonts w:ascii="宋体" w:hAnsi="宋体" w:eastAsia="宋体" w:cs="宋体"/>
                <w:sz w:val="16"/>
              </w:rPr>
              <w:t>建设工程勘察、设计单位超越其资质等级许可的范围或者以其他建设工程勘察、设计单位的名义承揽建设工程勘察、设计业务；建设工程勘察、设计单位允许其他单位或者个人以本单位的名义承揽建设工程勘察、设计业务；未取得资质证书承揽工程；以欺骗手段取得资质证书承揽工程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26"/>
              <w:jc w:val="center"/>
            </w:pPr>
            <w:r>
              <w:rPr>
                <w:rFonts w:ascii="宋体" w:hAnsi="宋体" w:eastAsia="宋体" w:cs="宋体"/>
                <w:sz w:val="16"/>
              </w:rPr>
              <w:t>《建设工程勘察设计管理条例》（国务院令第662号）</w:t>
            </w:r>
          </w:p>
        </w:tc>
        <w:tc>
          <w:tcPr>
            <w:tcW w:w="1565" w:type="dxa"/>
            <w:vMerge w:val="restart"/>
            <w:tcBorders>
              <w:top w:val="single" w:color="000000" w:sz="8" w:space="0"/>
              <w:left w:val="single" w:color="000000" w:sz="8" w:space="0"/>
              <w:bottom w:val="single" w:color="000000" w:sz="8" w:space="0"/>
              <w:right w:val="single" w:color="000000" w:sz="8" w:space="0"/>
            </w:tcBorders>
            <w:vAlign w:val="center"/>
          </w:tcPr>
          <w:p>
            <w:pPr>
              <w:spacing w:after="0"/>
              <w:ind w:left="115"/>
              <w:jc w:val="both"/>
            </w:pPr>
            <w:r>
              <w:rPr>
                <w:rFonts w:ascii="宋体" w:hAnsi="宋体" w:eastAsia="宋体" w:cs="宋体"/>
                <w:sz w:val="16"/>
              </w:rPr>
              <w:t>城市与建筑设计科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41" w:type="dxa"/>
            <w:left w:w="31" w:type="dxa"/>
            <w:bottom w:w="15" w:type="dxa"/>
            <w:right w:w="42"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29"/>
              <w:jc w:val="center"/>
            </w:pPr>
            <w:r>
              <w:rPr>
                <w:rFonts w:ascii="宋体" w:hAnsi="宋体" w:eastAsia="宋体" w:cs="宋体"/>
                <w:sz w:val="16"/>
              </w:rPr>
              <w:t>232</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26"/>
              <w:jc w:val="center"/>
            </w:pPr>
            <w:r>
              <w:rPr>
                <w:rFonts w:ascii="宋体" w:hAnsi="宋体" w:eastAsia="宋体" w:cs="宋体"/>
                <w:sz w:val="16"/>
              </w:rPr>
              <w:t>未经注册，擅自以注册建设工程勘察、设计人员的名义从事建设工程勘察、设计活动的处罚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26"/>
              <w:jc w:val="center"/>
            </w:pPr>
            <w:r>
              <w:rPr>
                <w:rFonts w:ascii="宋体" w:hAnsi="宋体" w:eastAsia="宋体" w:cs="宋体"/>
                <w:sz w:val="16"/>
              </w:rPr>
              <w:t>建设工程勘察设计管理条例》(国务院令第662号）</w:t>
            </w:r>
          </w:p>
        </w:tc>
        <w:tc>
          <w:tcPr>
            <w:tcW w:w="0" w:type="auto"/>
            <w:vMerge w:val="continue"/>
            <w:tcBorders>
              <w:top w:val="nil"/>
              <w:left w:val="single" w:color="000000" w:sz="8" w:space="0"/>
              <w:bottom w:val="single" w:color="000000" w:sz="8" w:space="0"/>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bl>
    <w:p>
      <w:pPr>
        <w:spacing w:after="0"/>
        <w:ind w:left="-1440" w:right="15394"/>
      </w:pPr>
    </w:p>
    <w:tbl>
      <w:tblPr>
        <w:tblStyle w:val="7"/>
        <w:tblW w:w="15775" w:type="dxa"/>
        <w:tblInd w:w="-1080" w:type="dxa"/>
        <w:tblLayout w:type="autofit"/>
        <w:tblCellMar>
          <w:top w:w="85" w:type="dxa"/>
          <w:left w:w="67" w:type="dxa"/>
          <w:bottom w:w="0" w:type="dxa"/>
          <w:right w:w="50" w:type="dxa"/>
        </w:tblCellMar>
      </w:tblPr>
      <w:tblGrid>
        <w:gridCol w:w="662"/>
        <w:gridCol w:w="7687"/>
        <w:gridCol w:w="4766"/>
        <w:gridCol w:w="1565"/>
        <w:gridCol w:w="1095"/>
      </w:tblGrid>
      <w:tr>
        <w:tblPrEx>
          <w:tblCellMar>
            <w:top w:w="85" w:type="dxa"/>
            <w:left w:w="67" w:type="dxa"/>
            <w:bottom w:w="0" w:type="dxa"/>
            <w:right w:w="50" w:type="dxa"/>
          </w:tblCellMar>
        </w:tblPrEx>
        <w:trPr>
          <w:trHeight w:val="542"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11"/>
            </w:pPr>
            <w:r>
              <w:rPr>
                <w:rFonts w:ascii="黑体" w:hAnsi="黑体" w:eastAsia="黑体" w:cs="黑体"/>
                <w:sz w:val="16"/>
              </w:rPr>
              <w:t>序号</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right="4"/>
              <w:jc w:val="center"/>
            </w:pPr>
            <w:r>
              <w:rPr>
                <w:rFonts w:ascii="黑体" w:hAnsi="黑体" w:eastAsia="黑体" w:cs="黑体"/>
                <w:sz w:val="16"/>
              </w:rPr>
              <w:t>违法行为</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2"/>
              <w:jc w:val="center"/>
            </w:pPr>
            <w:r>
              <w:rPr>
                <w:rFonts w:ascii="黑体" w:hAnsi="黑体" w:eastAsia="黑体" w:cs="黑体"/>
                <w:sz w:val="16"/>
              </w:rPr>
              <w:t>行政处罚实施依据</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right="1"/>
              <w:jc w:val="center"/>
            </w:pPr>
            <w:r>
              <w:rPr>
                <w:rFonts w:ascii="黑体" w:hAnsi="黑体" w:eastAsia="黑体" w:cs="黑体"/>
                <w:sz w:val="16"/>
              </w:rPr>
              <w:t>责任科室</w:t>
            </w:r>
          </w:p>
        </w:tc>
        <w:tc>
          <w:tcPr>
            <w:tcW w:w="1094" w:type="dxa"/>
            <w:tcBorders>
              <w:top w:val="single" w:color="000000" w:sz="8" w:space="0"/>
              <w:left w:val="single" w:color="000000" w:sz="8" w:space="0"/>
              <w:bottom w:val="single" w:color="000000" w:sz="8" w:space="0"/>
              <w:right w:val="single" w:color="000000" w:sz="8" w:space="0"/>
            </w:tcBorders>
            <w:vAlign w:val="center"/>
          </w:tcPr>
          <w:p>
            <w:pPr>
              <w:spacing w:after="0"/>
              <w:ind w:right="2"/>
              <w:jc w:val="center"/>
            </w:pPr>
            <w:r>
              <w:rPr>
                <w:rFonts w:ascii="黑体" w:hAnsi="黑体" w:eastAsia="黑体" w:cs="黑体"/>
                <w:sz w:val="16"/>
              </w:rPr>
              <w:t>备注</w:t>
            </w:r>
          </w:p>
        </w:tc>
      </w:tr>
      <w:tr>
        <w:tblPrEx>
          <w:tblCellMar>
            <w:top w:w="85" w:type="dxa"/>
            <w:left w:w="67" w:type="dxa"/>
            <w:bottom w:w="0" w:type="dxa"/>
            <w:right w:w="50"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233</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建设工程勘察、设计注册执业人员和其他专业技术人员未受聘于一个建设工程勘察、设计单位或者同时受聘于两个以上建设工程勘察、设计单位，从事建设工程勘察、设计活动的处罚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2"/>
              <w:jc w:val="center"/>
            </w:pPr>
            <w:r>
              <w:rPr>
                <w:rFonts w:ascii="宋体" w:hAnsi="宋体" w:eastAsia="宋体" w:cs="宋体"/>
                <w:sz w:val="16"/>
              </w:rPr>
              <w:t>《建设工程勘察设计管理条例》（国务院令第662号）</w:t>
            </w:r>
          </w:p>
        </w:tc>
        <w:tc>
          <w:tcPr>
            <w:tcW w:w="1565" w:type="dxa"/>
            <w:vMerge w:val="restart"/>
            <w:tcBorders>
              <w:top w:val="single" w:color="000000" w:sz="8" w:space="0"/>
              <w:left w:val="single" w:color="000000" w:sz="8" w:space="0"/>
              <w:bottom w:val="single" w:color="000000" w:sz="8" w:space="0"/>
              <w:right w:val="single" w:color="000000" w:sz="8" w:space="0"/>
            </w:tcBorders>
            <w:vAlign w:val="center"/>
          </w:tcPr>
          <w:p>
            <w:pPr>
              <w:spacing w:after="0"/>
              <w:ind w:left="79"/>
              <w:jc w:val="both"/>
            </w:pPr>
            <w:r>
              <w:rPr>
                <w:rFonts w:ascii="宋体" w:hAnsi="宋体" w:eastAsia="宋体" w:cs="宋体"/>
                <w:sz w:val="16"/>
              </w:rPr>
              <w:t>城市与建筑设计科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85" w:type="dxa"/>
            <w:left w:w="67" w:type="dxa"/>
            <w:bottom w:w="0" w:type="dxa"/>
            <w:right w:w="50"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234</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right="2"/>
              <w:jc w:val="center"/>
            </w:pPr>
            <w:r>
              <w:rPr>
                <w:rFonts w:ascii="宋体" w:hAnsi="宋体" w:eastAsia="宋体" w:cs="宋体"/>
                <w:sz w:val="16"/>
              </w:rPr>
              <w:t>发包方将建设工程勘察、设计业务发包给不具有相应资质等级的建设工程勘察、设计单位的处罚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2"/>
              <w:jc w:val="center"/>
            </w:pPr>
            <w:r>
              <w:rPr>
                <w:rFonts w:ascii="宋体" w:hAnsi="宋体" w:eastAsia="宋体" w:cs="宋体"/>
                <w:sz w:val="16"/>
              </w:rPr>
              <w:t>《建设工程勘察设计管理条例》（国务院令第662号）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85" w:type="dxa"/>
            <w:left w:w="67" w:type="dxa"/>
            <w:bottom w:w="0" w:type="dxa"/>
            <w:right w:w="50" w:type="dxa"/>
          </w:tblCellMar>
        </w:tblPrEx>
        <w:trPr>
          <w:trHeight w:val="581"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235</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建设工程勘察、设计单位将所承揽的建设工程勘察、设计转包的处罚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2"/>
              <w:jc w:val="center"/>
            </w:pPr>
            <w:r>
              <w:rPr>
                <w:rFonts w:ascii="宋体" w:hAnsi="宋体" w:eastAsia="宋体" w:cs="宋体"/>
                <w:sz w:val="16"/>
              </w:rPr>
              <w:t>《建设工程勘察设计管理条例》（国务院令第662号）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85" w:type="dxa"/>
            <w:left w:w="67" w:type="dxa"/>
            <w:bottom w:w="0" w:type="dxa"/>
            <w:right w:w="50"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236</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勘察、设计单位未依据项目批准文件，城乡规划及专业规划，国家规定的建设工程勘察、设计深度要求编制建设工程勘察、设计文件的处罚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2"/>
              <w:jc w:val="center"/>
            </w:pPr>
            <w:r>
              <w:rPr>
                <w:rFonts w:ascii="宋体" w:hAnsi="宋体" w:eastAsia="宋体" w:cs="宋体"/>
                <w:sz w:val="16"/>
              </w:rPr>
              <w:t>《建设工程勘察设计管理条例》（国务院令第662号）</w:t>
            </w:r>
          </w:p>
        </w:tc>
        <w:tc>
          <w:tcPr>
            <w:tcW w:w="0" w:type="auto"/>
            <w:vMerge w:val="continue"/>
            <w:tcBorders>
              <w:top w:val="nil"/>
              <w:left w:val="single" w:color="000000" w:sz="8" w:space="0"/>
              <w:bottom w:val="single" w:color="000000" w:sz="8" w:space="0"/>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85" w:type="dxa"/>
            <w:left w:w="67" w:type="dxa"/>
            <w:bottom w:w="0" w:type="dxa"/>
            <w:right w:w="50"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237</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以拒绝进入现场等方式拒不接受环境保护主管部门及其委托的环境监察机构或者其他负有大气 环境保护监督管理职责的部门的监督检查，或者在接受监督检查时弄虚作假的行政处罚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1"/>
              <w:jc w:val="center"/>
            </w:pPr>
            <w:r>
              <w:rPr>
                <w:rFonts w:ascii="宋体" w:hAnsi="宋体" w:eastAsia="宋体" w:cs="宋体"/>
                <w:sz w:val="16"/>
              </w:rPr>
              <w:t>《中华人民共和国大气污染防治法》</w:t>
            </w:r>
          </w:p>
        </w:tc>
        <w:tc>
          <w:tcPr>
            <w:tcW w:w="1565" w:type="dxa"/>
            <w:vMerge w:val="restart"/>
            <w:tcBorders>
              <w:top w:val="single" w:color="000000" w:sz="8" w:space="0"/>
              <w:left w:val="single" w:color="000000" w:sz="8" w:space="0"/>
              <w:bottom w:val="single" w:color="000000" w:sz="8" w:space="0"/>
              <w:right w:val="single" w:color="000000" w:sz="8" w:space="0"/>
            </w:tcBorders>
            <w:vAlign w:val="center"/>
          </w:tcPr>
          <w:p>
            <w:pPr>
              <w:spacing w:after="0"/>
              <w:jc w:val="both"/>
            </w:pPr>
            <w:r>
              <w:rPr>
                <w:rFonts w:ascii="宋体" w:hAnsi="宋体" w:eastAsia="宋体" w:cs="宋体"/>
                <w:sz w:val="16"/>
              </w:rPr>
              <w:t>工程质量安全管理科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85" w:type="dxa"/>
            <w:left w:w="67" w:type="dxa"/>
            <w:bottom w:w="0" w:type="dxa"/>
            <w:right w:w="50"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238</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
              <w:jc w:val="both"/>
            </w:pPr>
            <w:r>
              <w:rPr>
                <w:rFonts w:ascii="宋体" w:hAnsi="宋体" w:eastAsia="宋体" w:cs="宋体"/>
                <w:sz w:val="16"/>
              </w:rPr>
              <w:t>施工单位施工工地未设置硬质围挡，或者未采取覆盖、分段作业、择时施工、洒水抑尘、冲洗地面和车辆等有效防尘降尘措施；建筑土方、工程渣土、建筑垃圾未及时清运，或者未采用密闭式防尘网遮盖的行政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1"/>
              <w:jc w:val="center"/>
            </w:pPr>
            <w:r>
              <w:rPr>
                <w:rFonts w:ascii="宋体" w:hAnsi="宋体" w:eastAsia="宋体" w:cs="宋体"/>
                <w:sz w:val="16"/>
              </w:rPr>
              <w:t>《中华人民共和国大气污染防治法》（主席令第31号）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85" w:type="dxa"/>
            <w:left w:w="67" w:type="dxa"/>
            <w:bottom w:w="0" w:type="dxa"/>
            <w:right w:w="50"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239</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建设单位未对暂时不能开工的建设用地的裸露地面进行覆盖，或者未对超过三个月不能开工的建设用地的裸露地面进行绿化、铺装或者遮盖的处罚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1"/>
              <w:jc w:val="center"/>
            </w:pPr>
            <w:r>
              <w:rPr>
                <w:rFonts w:ascii="宋体" w:hAnsi="宋体" w:eastAsia="宋体" w:cs="宋体"/>
                <w:sz w:val="16"/>
              </w:rPr>
              <w:t>《中华人民共和国大气污染防治法》（主席令第31号）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85" w:type="dxa"/>
            <w:left w:w="67" w:type="dxa"/>
            <w:bottom w:w="0" w:type="dxa"/>
            <w:right w:w="50"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240</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房屋建筑、拆迁改造、市政基础设施施工、城市规划区内水利工程施工和道路建设工程施工及园林绿化施工等可能产生扬尘污染活动的施工现场未按照规定采取扬尘防治措施的行政处罚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3"/>
              <w:jc w:val="center"/>
            </w:pPr>
            <w:r>
              <w:rPr>
                <w:rFonts w:ascii="宋体" w:hAnsi="宋体" w:eastAsia="宋体" w:cs="宋体"/>
                <w:sz w:val="16"/>
              </w:rPr>
              <w:t>《河南省大气污染防治条例》</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85" w:type="dxa"/>
            <w:left w:w="67" w:type="dxa"/>
            <w:bottom w:w="0" w:type="dxa"/>
            <w:right w:w="50"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241</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建设工程监理单位未将扬尘污染防治纳入工程监理细则；对发现的扬尘污染行为，未及时要求施工单位改正，并报告建设单位及有关主管部门的行政处罚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3"/>
              <w:jc w:val="center"/>
            </w:pPr>
            <w:r>
              <w:rPr>
                <w:rFonts w:ascii="宋体" w:hAnsi="宋体" w:eastAsia="宋体" w:cs="宋体"/>
                <w:sz w:val="16"/>
              </w:rPr>
              <w:t>《河南省大气污染防治条例》</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85" w:type="dxa"/>
            <w:left w:w="67" w:type="dxa"/>
            <w:bottom w:w="0" w:type="dxa"/>
            <w:right w:w="50" w:type="dxa"/>
          </w:tblCellMar>
        </w:tblPrEx>
        <w:trPr>
          <w:trHeight w:val="948"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242</w:t>
            </w:r>
          </w:p>
        </w:tc>
        <w:tc>
          <w:tcPr>
            <w:tcW w:w="7687" w:type="dxa"/>
            <w:tcBorders>
              <w:top w:val="single" w:color="000000" w:sz="8" w:space="0"/>
              <w:left w:val="single" w:color="000000" w:sz="8" w:space="0"/>
              <w:bottom w:val="single" w:color="000000" w:sz="8" w:space="0"/>
              <w:right w:val="single" w:color="000000" w:sz="8" w:space="0"/>
            </w:tcBorders>
          </w:tcPr>
          <w:p>
            <w:pPr>
              <w:spacing w:after="0"/>
              <w:jc w:val="center"/>
            </w:pPr>
            <w:r>
              <w:rPr>
                <w:rFonts w:ascii="宋体" w:hAnsi="宋体" w:eastAsia="宋体" w:cs="宋体"/>
                <w:sz w:val="16"/>
              </w:rPr>
              <w:t>未密闭煤炭、煤矸石、媒渣、煤灰、水泥、石灰、石膏、砂土等易产生扬尘 的物料的；对不能密闭的易产生扬尘的物料，未依法采取相应的围档、覆盖、喷淋等抑尘措施的；露天装卸物料未采取密闭或者喷淋等抑尘措施，输送的物料未在装料、卸料 处配备吸尘、喷淋等防尘设施的；垃圾填埋场、建筑垃圾以及渣土消纳场，未按照相关标准和要求采取抑尘措施的行政处罚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3"/>
              <w:jc w:val="center"/>
            </w:pPr>
            <w:r>
              <w:rPr>
                <w:rFonts w:ascii="宋体" w:hAnsi="宋体" w:eastAsia="宋体" w:cs="宋体"/>
                <w:sz w:val="16"/>
              </w:rPr>
              <w:t>《河南省大气污染防治条例》</w:t>
            </w:r>
          </w:p>
        </w:tc>
        <w:tc>
          <w:tcPr>
            <w:tcW w:w="0" w:type="auto"/>
            <w:vMerge w:val="continue"/>
            <w:tcBorders>
              <w:top w:val="nil"/>
              <w:left w:val="single" w:color="000000" w:sz="8" w:space="0"/>
              <w:bottom w:val="single" w:color="000000" w:sz="8" w:space="0"/>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85" w:type="dxa"/>
            <w:left w:w="67" w:type="dxa"/>
            <w:bottom w:w="0" w:type="dxa"/>
            <w:right w:w="50" w:type="dxa"/>
          </w:tblCellMar>
        </w:tblPrEx>
        <w:trPr>
          <w:trHeight w:val="910"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243</w:t>
            </w:r>
          </w:p>
        </w:tc>
        <w:tc>
          <w:tcPr>
            <w:tcW w:w="7687" w:type="dxa"/>
            <w:tcBorders>
              <w:top w:val="single" w:color="000000" w:sz="8" w:space="0"/>
              <w:left w:val="single" w:color="000000" w:sz="8" w:space="0"/>
              <w:bottom w:val="single" w:color="000000" w:sz="8" w:space="0"/>
              <w:right w:val="single" w:color="000000" w:sz="8" w:space="0"/>
            </w:tcBorders>
          </w:tcPr>
          <w:p>
            <w:pPr>
              <w:spacing w:after="0"/>
              <w:jc w:val="center"/>
            </w:pPr>
            <w:r>
              <w:rPr>
                <w:rFonts w:ascii="宋体" w:hAnsi="宋体" w:eastAsia="宋体" w:cs="宋体"/>
                <w:sz w:val="16"/>
              </w:rPr>
              <w:t>依法应当进行消防设计审查的建设工程，未经依法审查或者审查不合格，擅自施工的；依法应当进行消防验收的建设工程，未经消防验收或者消防验收不合格，擅自投入使用的；本法第十三条规定的其他建设工程验收后经依法抽查不合格，不停止使用的；公众聚集场所未经消防安全检查或者经检查不符合消防安全要求，擅自投入 使用、营业的行政处罚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2"/>
              <w:jc w:val="center"/>
            </w:pPr>
            <w:r>
              <w:rPr>
                <w:rFonts w:ascii="宋体" w:hAnsi="宋体" w:eastAsia="宋体" w:cs="宋体"/>
                <w:sz w:val="16"/>
              </w:rPr>
              <w:t>《中华人民共和国消防法》</w:t>
            </w:r>
          </w:p>
        </w:tc>
        <w:tc>
          <w:tcPr>
            <w:tcW w:w="1565" w:type="dxa"/>
            <w:vMerge w:val="restart"/>
            <w:tcBorders>
              <w:top w:val="single" w:color="000000" w:sz="8" w:space="0"/>
              <w:left w:val="single" w:color="000000" w:sz="8" w:space="0"/>
              <w:bottom w:val="single" w:color="000000" w:sz="8" w:space="0"/>
              <w:right w:val="single" w:color="000000" w:sz="8" w:space="0"/>
            </w:tcBorders>
            <w:vAlign w:val="center"/>
          </w:tcPr>
          <w:p>
            <w:pPr>
              <w:spacing w:after="0"/>
              <w:jc w:val="both"/>
            </w:pPr>
            <w:r>
              <w:rPr>
                <w:rFonts w:ascii="宋体" w:hAnsi="宋体" w:eastAsia="宋体" w:cs="宋体"/>
                <w:sz w:val="16"/>
              </w:rPr>
              <w:t>工程质量安全管理科</w:t>
            </w:r>
          </w:p>
          <w:p>
            <w:pPr>
              <w:spacing w:after="0"/>
              <w:ind w:left="161"/>
            </w:pPr>
            <w:r>
              <w:rPr>
                <w:rFonts w:ascii="宋体" w:hAnsi="宋体" w:eastAsia="宋体" w:cs="宋体"/>
                <w:sz w:val="16"/>
              </w:rPr>
              <w:t>、科技与标准科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85" w:type="dxa"/>
            <w:left w:w="67" w:type="dxa"/>
            <w:bottom w:w="0" w:type="dxa"/>
            <w:right w:w="50" w:type="dxa"/>
          </w:tblCellMar>
        </w:tblPrEx>
        <w:trPr>
          <w:trHeight w:val="463"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244</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right="4"/>
              <w:jc w:val="center"/>
            </w:pPr>
            <w:r>
              <w:rPr>
                <w:rFonts w:ascii="宋体" w:hAnsi="宋体" w:eastAsia="宋体" w:cs="宋体"/>
                <w:sz w:val="16"/>
              </w:rPr>
              <w:t>建设单位未依照本法规定在验收后报住房和城乡建设主管部门备案的行政处罚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2"/>
              <w:jc w:val="center"/>
            </w:pPr>
            <w:r>
              <w:rPr>
                <w:rFonts w:ascii="宋体" w:hAnsi="宋体" w:eastAsia="宋体" w:cs="宋体"/>
                <w:sz w:val="16"/>
              </w:rPr>
              <w:t>《中华人民共和国消防法》</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85" w:type="dxa"/>
            <w:left w:w="67" w:type="dxa"/>
            <w:bottom w:w="0" w:type="dxa"/>
            <w:right w:w="50" w:type="dxa"/>
          </w:tblCellMar>
        </w:tblPrEx>
        <w:trPr>
          <w:trHeight w:val="1066"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245</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建设单位要求建筑设计单位或者建筑施工企业降低消防技术标准设计、施工的；建筑设计单位不按照消防技术标准强制性要求进行消防设计的；建筑施工企业不按照消防设计文件和消防技术标准施工，降低消防施工质量 的；工程监理单位与建设单位或者建筑施工企业串通，弄虚作假，降低消防施工质量的行政处罚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2"/>
              <w:jc w:val="center"/>
            </w:pPr>
            <w:r>
              <w:rPr>
                <w:rFonts w:ascii="宋体" w:hAnsi="宋体" w:eastAsia="宋体" w:cs="宋体"/>
                <w:sz w:val="16"/>
              </w:rPr>
              <w:t>《中华人民共和国消防法》</w:t>
            </w:r>
          </w:p>
        </w:tc>
        <w:tc>
          <w:tcPr>
            <w:tcW w:w="0" w:type="auto"/>
            <w:vMerge w:val="continue"/>
            <w:tcBorders>
              <w:top w:val="nil"/>
              <w:left w:val="single" w:color="000000" w:sz="8" w:space="0"/>
              <w:bottom w:val="single" w:color="000000" w:sz="8" w:space="0"/>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bl>
    <w:p>
      <w:pPr>
        <w:spacing w:after="0"/>
        <w:ind w:left="-1440" w:right="15394"/>
      </w:pPr>
    </w:p>
    <w:tbl>
      <w:tblPr>
        <w:tblStyle w:val="7"/>
        <w:tblW w:w="15775" w:type="dxa"/>
        <w:tblInd w:w="-1080" w:type="dxa"/>
        <w:tblLayout w:type="autofit"/>
        <w:tblCellMar>
          <w:top w:w="80" w:type="dxa"/>
          <w:left w:w="57" w:type="dxa"/>
          <w:bottom w:w="0" w:type="dxa"/>
          <w:right w:w="41" w:type="dxa"/>
        </w:tblCellMar>
      </w:tblPr>
      <w:tblGrid>
        <w:gridCol w:w="662"/>
        <w:gridCol w:w="7687"/>
        <w:gridCol w:w="4766"/>
        <w:gridCol w:w="1565"/>
        <w:gridCol w:w="1095"/>
      </w:tblGrid>
      <w:tr>
        <w:tblPrEx>
          <w:tblCellMar>
            <w:top w:w="80" w:type="dxa"/>
            <w:left w:w="57" w:type="dxa"/>
            <w:bottom w:w="0" w:type="dxa"/>
            <w:right w:w="41" w:type="dxa"/>
          </w:tblCellMar>
        </w:tblPrEx>
        <w:trPr>
          <w:trHeight w:val="542"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21"/>
            </w:pPr>
            <w:r>
              <w:rPr>
                <w:rFonts w:ascii="黑体" w:hAnsi="黑体" w:eastAsia="黑体" w:cs="黑体"/>
                <w:sz w:val="16"/>
              </w:rPr>
              <w:t>序号</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right="3"/>
              <w:jc w:val="center"/>
            </w:pPr>
            <w:r>
              <w:rPr>
                <w:rFonts w:ascii="黑体" w:hAnsi="黑体" w:eastAsia="黑体" w:cs="黑体"/>
                <w:sz w:val="16"/>
              </w:rPr>
              <w:t>违法行为</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1"/>
              <w:jc w:val="center"/>
            </w:pPr>
            <w:r>
              <w:rPr>
                <w:rFonts w:ascii="黑体" w:hAnsi="黑体" w:eastAsia="黑体" w:cs="黑体"/>
                <w:sz w:val="16"/>
              </w:rPr>
              <w:t>行政处罚实施依据</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黑体" w:hAnsi="黑体" w:eastAsia="黑体" w:cs="黑体"/>
                <w:sz w:val="16"/>
              </w:rPr>
              <w:t>责任科室</w:t>
            </w:r>
          </w:p>
        </w:tc>
        <w:tc>
          <w:tcPr>
            <w:tcW w:w="1094" w:type="dxa"/>
            <w:tcBorders>
              <w:top w:val="single" w:color="000000" w:sz="8" w:space="0"/>
              <w:left w:val="single" w:color="000000" w:sz="8" w:space="0"/>
              <w:bottom w:val="single" w:color="000000" w:sz="8" w:space="0"/>
              <w:right w:val="single" w:color="000000" w:sz="8" w:space="0"/>
            </w:tcBorders>
            <w:vAlign w:val="center"/>
          </w:tcPr>
          <w:p>
            <w:pPr>
              <w:spacing w:after="0"/>
              <w:ind w:right="1"/>
              <w:jc w:val="center"/>
            </w:pPr>
            <w:r>
              <w:rPr>
                <w:rFonts w:ascii="黑体" w:hAnsi="黑体" w:eastAsia="黑体" w:cs="黑体"/>
                <w:sz w:val="16"/>
              </w:rPr>
              <w:t>备注</w:t>
            </w:r>
          </w:p>
        </w:tc>
      </w:tr>
      <w:tr>
        <w:tblPrEx>
          <w:tblCellMar>
            <w:top w:w="80" w:type="dxa"/>
            <w:left w:w="57" w:type="dxa"/>
            <w:bottom w:w="0" w:type="dxa"/>
            <w:right w:w="41" w:type="dxa"/>
          </w:tblCellMar>
        </w:tblPrEx>
        <w:trPr>
          <w:trHeight w:val="367" w:hRule="atLeast"/>
        </w:trPr>
        <w:tc>
          <w:tcPr>
            <w:tcW w:w="662" w:type="dxa"/>
            <w:tcBorders>
              <w:top w:val="single" w:color="000000" w:sz="8" w:space="0"/>
              <w:left w:val="single" w:color="000000" w:sz="8" w:space="0"/>
              <w:bottom w:val="single" w:color="000000" w:sz="8" w:space="0"/>
              <w:right w:val="single" w:color="000000" w:sz="8" w:space="0"/>
            </w:tcBorders>
          </w:tcPr>
          <w:p>
            <w:pPr>
              <w:spacing w:after="0"/>
              <w:ind w:left="1"/>
              <w:jc w:val="center"/>
            </w:pPr>
            <w:r>
              <w:rPr>
                <w:rFonts w:ascii="宋体" w:hAnsi="宋体" w:eastAsia="宋体" w:cs="宋体"/>
                <w:sz w:val="16"/>
              </w:rPr>
              <w:t>246</w:t>
            </w:r>
          </w:p>
        </w:tc>
        <w:tc>
          <w:tcPr>
            <w:tcW w:w="7687" w:type="dxa"/>
            <w:tcBorders>
              <w:top w:val="single" w:color="000000" w:sz="8" w:space="0"/>
              <w:left w:val="single" w:color="000000" w:sz="8" w:space="0"/>
              <w:bottom w:val="single" w:color="000000" w:sz="8" w:space="0"/>
              <w:right w:val="single" w:color="000000" w:sz="8" w:space="0"/>
            </w:tcBorders>
          </w:tcPr>
          <w:p>
            <w:pPr>
              <w:spacing w:after="0"/>
              <w:ind w:right="1"/>
              <w:jc w:val="center"/>
            </w:pPr>
            <w:r>
              <w:rPr>
                <w:rFonts w:ascii="宋体" w:hAnsi="宋体" w:eastAsia="宋体" w:cs="宋体"/>
                <w:sz w:val="16"/>
              </w:rPr>
              <w:t>施工单位未按照节能设计进行施工的处罚</w:t>
            </w:r>
          </w:p>
        </w:tc>
        <w:tc>
          <w:tcPr>
            <w:tcW w:w="4766" w:type="dxa"/>
            <w:tcBorders>
              <w:top w:val="single" w:color="000000" w:sz="8" w:space="0"/>
              <w:left w:val="single" w:color="000000" w:sz="8" w:space="0"/>
              <w:bottom w:val="single" w:color="000000" w:sz="8" w:space="0"/>
              <w:right w:val="single" w:color="000000" w:sz="8" w:space="0"/>
            </w:tcBorders>
          </w:tcPr>
          <w:p>
            <w:pPr>
              <w:spacing w:after="0"/>
              <w:ind w:right="3"/>
              <w:jc w:val="center"/>
            </w:pPr>
            <w:r>
              <w:rPr>
                <w:rFonts w:ascii="宋体" w:hAnsi="宋体" w:eastAsia="宋体" w:cs="宋体"/>
                <w:sz w:val="16"/>
              </w:rPr>
              <w:t>《民用建筑节能管理规定》（建设部令第143号）</w:t>
            </w:r>
          </w:p>
        </w:tc>
        <w:tc>
          <w:tcPr>
            <w:tcW w:w="1565" w:type="dxa"/>
            <w:vMerge w:val="restart"/>
            <w:tcBorders>
              <w:top w:val="single" w:color="000000" w:sz="8" w:space="0"/>
              <w:left w:val="single" w:color="000000" w:sz="8" w:space="0"/>
              <w:bottom w:val="single" w:color="000000" w:sz="8" w:space="0"/>
              <w:right w:val="single" w:color="000000" w:sz="8" w:space="0"/>
            </w:tcBorders>
            <w:vAlign w:val="center"/>
          </w:tcPr>
          <w:p>
            <w:pPr>
              <w:spacing w:after="0"/>
              <w:ind w:left="250"/>
            </w:pPr>
            <w:r>
              <w:rPr>
                <w:rFonts w:ascii="宋体" w:hAnsi="宋体" w:eastAsia="宋体" w:cs="宋体"/>
                <w:sz w:val="16"/>
              </w:rPr>
              <w:t>科技与标准科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80" w:type="dxa"/>
            <w:left w:w="57" w:type="dxa"/>
            <w:bottom w:w="0" w:type="dxa"/>
            <w:right w:w="41" w:type="dxa"/>
          </w:tblCellMar>
        </w:tblPrEx>
        <w:trPr>
          <w:trHeight w:val="562"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
              <w:jc w:val="center"/>
            </w:pPr>
            <w:r>
              <w:rPr>
                <w:rFonts w:ascii="宋体" w:hAnsi="宋体" w:eastAsia="宋体" w:cs="宋体"/>
                <w:sz w:val="16"/>
              </w:rPr>
              <w:t>247</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211"/>
            </w:pPr>
            <w:r>
              <w:rPr>
                <w:rFonts w:ascii="宋体" w:hAnsi="宋体" w:eastAsia="宋体" w:cs="宋体"/>
                <w:sz w:val="16"/>
              </w:rPr>
              <w:t>施工现场搅拌场搅拌混凝土，砂浆；预拌混凝土、预拌砂浆生产企业散装水泥使用量达不到70%的处罚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right="1"/>
              <w:jc w:val="center"/>
            </w:pPr>
            <w:r>
              <w:rPr>
                <w:rFonts w:ascii="宋体" w:hAnsi="宋体" w:eastAsia="宋体" w:cs="宋体"/>
                <w:sz w:val="16"/>
              </w:rPr>
              <w:t>《河南省发展散装水泥管理规定》（省政府令第121号）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80" w:type="dxa"/>
            <w:left w:w="57" w:type="dxa"/>
            <w:bottom w:w="0" w:type="dxa"/>
            <w:right w:w="41" w:type="dxa"/>
          </w:tblCellMar>
        </w:tblPrEx>
        <w:trPr>
          <w:trHeight w:val="542"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
              <w:jc w:val="center"/>
            </w:pPr>
            <w:r>
              <w:rPr>
                <w:rFonts w:ascii="宋体" w:hAnsi="宋体" w:eastAsia="宋体" w:cs="宋体"/>
                <w:sz w:val="16"/>
              </w:rPr>
              <w:t>248</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未按规定缴纳散装水泥专项资金的处罚</w:t>
            </w:r>
          </w:p>
        </w:tc>
        <w:tc>
          <w:tcPr>
            <w:tcW w:w="4766" w:type="dxa"/>
            <w:tcBorders>
              <w:top w:val="single" w:color="000000" w:sz="8" w:space="0"/>
              <w:left w:val="single" w:color="000000" w:sz="8" w:space="0"/>
              <w:bottom w:val="single" w:color="000000" w:sz="8" w:space="0"/>
              <w:right w:val="single" w:color="000000" w:sz="8" w:space="0"/>
            </w:tcBorders>
          </w:tcPr>
          <w:p>
            <w:pPr>
              <w:spacing w:after="0"/>
              <w:jc w:val="center"/>
            </w:pPr>
            <w:r>
              <w:rPr>
                <w:rFonts w:ascii="宋体" w:hAnsi="宋体" w:eastAsia="宋体" w:cs="宋体"/>
                <w:sz w:val="16"/>
              </w:rPr>
              <w:t>《散装水泥管理办法》（商务部、财政部、建设部、铁道部、交通部、国家质量监督检验检疫总局、国家环境保护总局令第5号）</w:t>
            </w:r>
          </w:p>
        </w:tc>
        <w:tc>
          <w:tcPr>
            <w:tcW w:w="0" w:type="auto"/>
            <w:vMerge w:val="continue"/>
            <w:tcBorders>
              <w:top w:val="nil"/>
              <w:left w:val="single" w:color="000000" w:sz="8" w:space="0"/>
              <w:bottom w:val="single" w:color="000000" w:sz="8" w:space="0"/>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80" w:type="dxa"/>
            <w:left w:w="57" w:type="dxa"/>
            <w:bottom w:w="0" w:type="dxa"/>
            <w:right w:w="41" w:type="dxa"/>
          </w:tblCellMar>
        </w:tblPrEx>
        <w:trPr>
          <w:trHeight w:val="523"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
              <w:jc w:val="center"/>
            </w:pPr>
            <w:r>
              <w:rPr>
                <w:rFonts w:ascii="宋体" w:hAnsi="宋体" w:eastAsia="宋体" w:cs="宋体"/>
                <w:sz w:val="16"/>
              </w:rPr>
              <w:t>249</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right="1"/>
              <w:jc w:val="center"/>
            </w:pPr>
            <w:r>
              <w:rPr>
                <w:rFonts w:ascii="宋体" w:hAnsi="宋体" w:eastAsia="宋体" w:cs="宋体"/>
                <w:sz w:val="16"/>
              </w:rPr>
              <w:t>应当委托评估机构进行法定评估而未委托的的处罚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《中华人民共和国资产评估法》（主席令第46号）</w:t>
            </w:r>
          </w:p>
        </w:tc>
        <w:tc>
          <w:tcPr>
            <w:tcW w:w="1565" w:type="dxa"/>
            <w:vMerge w:val="restart"/>
            <w:tcBorders>
              <w:top w:val="single" w:color="000000" w:sz="8" w:space="0"/>
              <w:left w:val="single" w:color="000000" w:sz="8" w:space="0"/>
              <w:bottom w:val="single" w:color="000000" w:sz="8" w:space="0"/>
              <w:right w:val="single" w:color="000000" w:sz="8" w:space="0"/>
            </w:tcBorders>
            <w:vAlign w:val="center"/>
          </w:tcPr>
          <w:p>
            <w:pPr>
              <w:spacing w:after="0"/>
              <w:ind w:left="89"/>
              <w:jc w:val="both"/>
            </w:pPr>
            <w:r>
              <w:rPr>
                <w:rFonts w:ascii="宋体" w:hAnsi="宋体" w:eastAsia="宋体" w:cs="宋体"/>
                <w:sz w:val="16"/>
              </w:rPr>
              <w:t>房地产开发管理科</w:t>
            </w:r>
          </w:p>
        </w:tc>
        <w:tc>
          <w:tcPr>
            <w:tcW w:w="1094" w:type="dxa"/>
            <w:vMerge w:val="restart"/>
            <w:tcBorders>
              <w:top w:val="single" w:color="000000" w:sz="8" w:space="0"/>
              <w:left w:val="single" w:color="000000" w:sz="8" w:space="0"/>
              <w:bottom w:val="single" w:color="000000" w:sz="8" w:space="0"/>
              <w:right w:val="single" w:color="000000" w:sz="8" w:space="0"/>
            </w:tcBorders>
          </w:tcPr>
          <w:p>
            <w:pPr>
              <w:spacing w:after="0"/>
            </w:pPr>
          </w:p>
        </w:tc>
      </w:tr>
      <w:tr>
        <w:tblPrEx>
          <w:tblCellMar>
            <w:top w:w="80" w:type="dxa"/>
            <w:left w:w="57" w:type="dxa"/>
            <w:bottom w:w="0" w:type="dxa"/>
            <w:right w:w="41" w:type="dxa"/>
          </w:tblCellMar>
        </w:tblPrEx>
        <w:trPr>
          <w:trHeight w:val="814"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
              <w:jc w:val="center"/>
            </w:pPr>
            <w:r>
              <w:rPr>
                <w:rFonts w:ascii="宋体" w:hAnsi="宋体" w:eastAsia="宋体" w:cs="宋体"/>
                <w:sz w:val="16"/>
              </w:rPr>
              <w:t>250</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委托人未依法选择评估机构;索要、收受或者变相索要、收受回扣;串通、唆使评估机构或者评估师出具虚假评估报告;不如实向评估机构提供权属证明、财务会计信息和其他资料;未按照法律规定和评估报告载明的使用范围使用评估报告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《中华人民共和国资产评估法》（主席令第46号）</w:t>
            </w:r>
          </w:p>
        </w:tc>
        <w:tc>
          <w:tcPr>
            <w:tcW w:w="0" w:type="auto"/>
            <w:vMerge w:val="continue"/>
            <w:tcBorders>
              <w:top w:val="nil"/>
              <w:left w:val="single" w:color="000000" w:sz="8" w:space="0"/>
              <w:bottom w:val="single" w:color="000000" w:sz="8" w:space="0"/>
              <w:right w:val="single" w:color="000000" w:sz="8" w:space="0"/>
            </w:tcBorders>
          </w:tcPr>
          <w:p>
            <w:pPr>
              <w:spacing w:after="0"/>
            </w:pPr>
          </w:p>
        </w:tc>
        <w:tc>
          <w:tcPr>
            <w:tcW w:w="0" w:type="auto"/>
            <w:vMerge w:val="continue"/>
            <w:tcBorders>
              <w:top w:val="nil"/>
              <w:left w:val="single" w:color="000000" w:sz="8" w:space="0"/>
              <w:bottom w:val="nil"/>
              <w:right w:val="single" w:color="000000" w:sz="8" w:space="0"/>
            </w:tcBorders>
          </w:tcPr>
          <w:p>
            <w:pPr>
              <w:spacing w:after="0"/>
            </w:pPr>
          </w:p>
        </w:tc>
      </w:tr>
      <w:tr>
        <w:tblPrEx>
          <w:tblCellMar>
            <w:top w:w="80" w:type="dxa"/>
            <w:left w:w="57" w:type="dxa"/>
            <w:bottom w:w="0" w:type="dxa"/>
            <w:right w:w="41" w:type="dxa"/>
          </w:tblCellMar>
        </w:tblPrEx>
        <w:trPr>
          <w:trHeight w:val="444"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
              <w:jc w:val="center"/>
            </w:pPr>
            <w:r>
              <w:rPr>
                <w:rFonts w:ascii="宋体" w:hAnsi="宋体" w:eastAsia="宋体" w:cs="宋体"/>
                <w:sz w:val="16"/>
              </w:rPr>
              <w:t>251</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right="2"/>
              <w:jc w:val="center"/>
            </w:pPr>
            <w:r>
              <w:rPr>
                <w:rFonts w:ascii="宋体" w:hAnsi="宋体" w:eastAsia="宋体" w:cs="宋体"/>
                <w:sz w:val="16"/>
              </w:rPr>
              <w:t>评估行业协会违反《中华人民共和国资产评估法》规定的处罚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《中华人民共和国资产评估法》（主席令第46号）</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89"/>
              <w:jc w:val="both"/>
            </w:pPr>
            <w:r>
              <w:rPr>
                <w:rFonts w:ascii="宋体" w:hAnsi="宋体" w:eastAsia="宋体" w:cs="宋体"/>
                <w:sz w:val="16"/>
              </w:rPr>
              <w:t>房地产开发管理科</w:t>
            </w:r>
          </w:p>
        </w:tc>
        <w:tc>
          <w:tcPr>
            <w:tcW w:w="0" w:type="auto"/>
            <w:vMerge w:val="continue"/>
            <w:tcBorders>
              <w:top w:val="nil"/>
              <w:left w:val="single" w:color="000000" w:sz="8" w:space="0"/>
              <w:bottom w:val="single" w:color="000000" w:sz="8" w:space="0"/>
              <w:right w:val="single" w:color="000000" w:sz="8" w:space="0"/>
            </w:tcBorders>
          </w:tcPr>
          <w:p>
            <w:pPr>
              <w:spacing w:after="0"/>
            </w:pPr>
          </w:p>
        </w:tc>
      </w:tr>
      <w:tr>
        <w:tblPrEx>
          <w:tblCellMar>
            <w:top w:w="80" w:type="dxa"/>
            <w:left w:w="57" w:type="dxa"/>
            <w:bottom w:w="0" w:type="dxa"/>
            <w:right w:w="41" w:type="dxa"/>
          </w:tblCellMar>
        </w:tblPrEx>
        <w:trPr>
          <w:trHeight w:val="562"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
              <w:jc w:val="center"/>
            </w:pPr>
            <w:r>
              <w:rPr>
                <w:rFonts w:ascii="宋体" w:hAnsi="宋体" w:eastAsia="宋体" w:cs="宋体"/>
                <w:sz w:val="16"/>
              </w:rPr>
              <w:t>252</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拒不执行停止工地土石方作业或者建筑物拆除施工等重污染天气应急措施的处罚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《中华人民共和国大气污染防治法》</w:t>
            </w:r>
          </w:p>
        </w:tc>
        <w:tc>
          <w:tcPr>
            <w:tcW w:w="1565" w:type="dxa"/>
            <w:vMerge w:val="restart"/>
            <w:tcBorders>
              <w:top w:val="single" w:color="000000" w:sz="8" w:space="0"/>
              <w:left w:val="single" w:color="000000" w:sz="8" w:space="0"/>
              <w:bottom w:val="single" w:color="000000" w:sz="8" w:space="0"/>
              <w:right w:val="single" w:color="000000" w:sz="8" w:space="0"/>
            </w:tcBorders>
            <w:vAlign w:val="center"/>
          </w:tcPr>
          <w:p>
            <w:pPr>
              <w:spacing w:after="0"/>
              <w:ind w:left="10"/>
              <w:jc w:val="both"/>
            </w:pPr>
            <w:r>
              <w:rPr>
                <w:rFonts w:ascii="宋体" w:hAnsi="宋体" w:eastAsia="宋体" w:cs="宋体"/>
                <w:sz w:val="16"/>
              </w:rPr>
              <w:t>工程质量安全管理科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80" w:type="dxa"/>
            <w:left w:w="57" w:type="dxa"/>
            <w:bottom w:w="0" w:type="dxa"/>
            <w:right w:w="41" w:type="dxa"/>
          </w:tblCellMar>
        </w:tblPrEx>
        <w:trPr>
          <w:trHeight w:val="1104"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
              <w:jc w:val="center"/>
            </w:pPr>
            <w:r>
              <w:rPr>
                <w:rFonts w:ascii="宋体" w:hAnsi="宋体" w:eastAsia="宋体" w:cs="宋体"/>
                <w:sz w:val="16"/>
              </w:rPr>
              <w:t>253</w:t>
            </w:r>
          </w:p>
        </w:tc>
        <w:tc>
          <w:tcPr>
            <w:tcW w:w="7687" w:type="dxa"/>
            <w:tcBorders>
              <w:top w:val="single" w:color="000000" w:sz="8" w:space="0"/>
              <w:left w:val="single" w:color="000000" w:sz="8" w:space="0"/>
              <w:bottom w:val="single" w:color="000000" w:sz="8" w:space="0"/>
              <w:right w:val="single" w:color="000000" w:sz="8" w:space="0"/>
            </w:tcBorders>
          </w:tcPr>
          <w:p>
            <w:pPr>
              <w:spacing w:after="1" w:line="232" w:lineRule="auto"/>
              <w:jc w:val="center"/>
            </w:pPr>
            <w:r>
              <w:rPr>
                <w:rFonts w:ascii="宋体" w:hAnsi="宋体" w:eastAsia="宋体" w:cs="宋体"/>
                <w:sz w:val="16"/>
              </w:rPr>
              <w:t>生产经营单位有未按照河南省安全生产风险管控与隐患治理办法第七条规定向负有安全生产监督管理职责部门报送重大风险基本信息的；未按照河南省安全生产风险管控与隐患治理办法第十条规定编制风险管控清单的；未按照河南省安全生产风险管控与隐患治理办法规定设置安全风险公告栏、制作岗位安全风险告知卡</w:t>
            </w:r>
          </w:p>
          <w:p>
            <w:pPr>
              <w:spacing w:after="0"/>
              <w:jc w:val="center"/>
            </w:pPr>
            <w:r>
              <w:rPr>
                <w:rFonts w:ascii="宋体" w:hAnsi="宋体" w:eastAsia="宋体" w:cs="宋体"/>
                <w:sz w:val="16"/>
              </w:rPr>
              <w:t>的；未按照未按照河南省安全生产风险管控与隐患治理办法规定向从业人员通报事故隐患治理情况的；未按照未按照河南省安全生产风险管控与隐患治理办法规定如实记录事故隐患治理情况的处罚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115"/>
            </w:pPr>
            <w:r>
              <w:rPr>
                <w:rFonts w:ascii="宋体" w:hAnsi="宋体" w:eastAsia="宋体" w:cs="宋体"/>
                <w:sz w:val="16"/>
              </w:rPr>
              <w:t>《河南省安全生产风险管控与隐患治理办法》(省政府令191号)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80" w:type="dxa"/>
            <w:left w:w="57" w:type="dxa"/>
            <w:bottom w:w="0" w:type="dxa"/>
            <w:right w:w="41"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
              <w:jc w:val="center"/>
            </w:pPr>
            <w:r>
              <w:rPr>
                <w:rFonts w:ascii="宋体" w:hAnsi="宋体" w:eastAsia="宋体" w:cs="宋体"/>
                <w:sz w:val="16"/>
              </w:rPr>
              <w:t>254</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right="3"/>
              <w:jc w:val="center"/>
            </w:pPr>
            <w:r>
              <w:rPr>
                <w:rFonts w:ascii="宋体" w:hAnsi="宋体" w:eastAsia="宋体" w:cs="宋体"/>
                <w:sz w:val="16"/>
              </w:rPr>
              <w:t>生产经营单位未按照本办法规定建立实施风险管控和事故隐患治理制度的处罚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115"/>
            </w:pPr>
            <w:r>
              <w:rPr>
                <w:rFonts w:ascii="宋体" w:hAnsi="宋体" w:eastAsia="宋体" w:cs="宋体"/>
                <w:sz w:val="16"/>
              </w:rPr>
              <w:t>《河南省安全生产风险管控与隐患治理办法》(省政府令191号)</w:t>
            </w:r>
          </w:p>
        </w:tc>
        <w:tc>
          <w:tcPr>
            <w:tcW w:w="0" w:type="auto"/>
            <w:vMerge w:val="continue"/>
            <w:tcBorders>
              <w:top w:val="nil"/>
              <w:left w:val="single" w:color="000000" w:sz="8" w:space="0"/>
              <w:bottom w:val="single" w:color="000000" w:sz="8" w:space="0"/>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80" w:type="dxa"/>
            <w:left w:w="57" w:type="dxa"/>
            <w:bottom w:w="0" w:type="dxa"/>
            <w:right w:w="41"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
              <w:jc w:val="center"/>
            </w:pPr>
            <w:r>
              <w:rPr>
                <w:rFonts w:ascii="宋体" w:hAnsi="宋体" w:eastAsia="宋体" w:cs="宋体"/>
                <w:sz w:val="16"/>
              </w:rPr>
              <w:t>255</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right="1"/>
              <w:jc w:val="center"/>
            </w:pPr>
            <w:r>
              <w:rPr>
                <w:rFonts w:ascii="宋体" w:hAnsi="宋体" w:eastAsia="宋体" w:cs="宋体"/>
                <w:sz w:val="16"/>
              </w:rPr>
              <w:t>违反《河南省已购公有住房和经济适用住房上市交易管理暂行办法》，弄虚作假、私下交易</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9"/>
              <w:jc w:val="both"/>
            </w:pPr>
            <w:r>
              <w:rPr>
                <w:rFonts w:ascii="宋体" w:hAnsi="宋体" w:eastAsia="宋体" w:cs="宋体"/>
                <w:sz w:val="16"/>
              </w:rPr>
              <w:t xml:space="preserve"> 《河南省已购公有住房和经济适用住房上市交易管理暂行办法》</w:t>
            </w:r>
          </w:p>
          <w:p>
            <w:pPr>
              <w:spacing w:after="0"/>
              <w:ind w:right="1"/>
              <w:jc w:val="center"/>
            </w:pPr>
            <w:r>
              <w:rPr>
                <w:rFonts w:ascii="宋体" w:hAnsi="宋体" w:eastAsia="宋体" w:cs="宋体"/>
                <w:sz w:val="16"/>
              </w:rPr>
              <w:t>（省政府令第51号）</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1"/>
              <w:jc w:val="center"/>
            </w:pPr>
            <w:r>
              <w:rPr>
                <w:rFonts w:ascii="宋体" w:hAnsi="宋体" w:eastAsia="宋体" w:cs="宋体"/>
                <w:sz w:val="16"/>
              </w:rPr>
              <w:t>住房保障科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80" w:type="dxa"/>
            <w:left w:w="57" w:type="dxa"/>
            <w:bottom w:w="0" w:type="dxa"/>
            <w:right w:w="41" w:type="dxa"/>
          </w:tblCellMar>
        </w:tblPrEx>
        <w:trPr>
          <w:trHeight w:val="1044"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
              <w:jc w:val="center"/>
            </w:pPr>
            <w:r>
              <w:rPr>
                <w:rFonts w:ascii="宋体" w:hAnsi="宋体" w:eastAsia="宋体" w:cs="宋体"/>
                <w:sz w:val="16"/>
              </w:rPr>
              <w:t>256</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91"/>
              <w:jc w:val="both"/>
            </w:pPr>
            <w:r>
              <w:rPr>
                <w:rFonts w:ascii="宋体" w:hAnsi="宋体" w:eastAsia="宋体" w:cs="宋体"/>
                <w:sz w:val="16"/>
              </w:rPr>
              <w:t>评估专业人员私自接受委托从事业务、收取费用;同时在两个以上评估机构从事业务;采用欺骗、利诱、胁</w:t>
            </w:r>
          </w:p>
          <w:p>
            <w:pPr>
              <w:spacing w:after="0"/>
              <w:ind w:left="50"/>
              <w:jc w:val="both"/>
            </w:pPr>
            <w:r>
              <w:rPr>
                <w:rFonts w:ascii="宋体" w:hAnsi="宋体" w:eastAsia="宋体" w:cs="宋体"/>
                <w:sz w:val="16"/>
              </w:rPr>
              <w:t>迫，或者贬损、诋毁其他评估专业人员等不正当手段招揽业务;允许他人以本人名义从事业务，或者冒用他</w:t>
            </w:r>
          </w:p>
          <w:p>
            <w:pPr>
              <w:spacing w:after="0"/>
              <w:jc w:val="center"/>
            </w:pPr>
            <w:r>
              <w:rPr>
                <w:rFonts w:ascii="宋体" w:hAnsi="宋体" w:eastAsia="宋体" w:cs="宋体"/>
                <w:sz w:val="16"/>
              </w:rPr>
              <w:t>人名义从事业务;签署本人未承办业务的评估报告或者有重大遗漏的评估报告;索要、收受或者变相索要、收受合同约定以外的酬金、财物，或者谋取其他不正当利益</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《中华人民共和国资产评估法》（主席令第46号）</w:t>
            </w:r>
          </w:p>
        </w:tc>
        <w:tc>
          <w:tcPr>
            <w:tcW w:w="1565" w:type="dxa"/>
            <w:vMerge w:val="restart"/>
            <w:tcBorders>
              <w:top w:val="single" w:color="000000" w:sz="8" w:space="0"/>
              <w:left w:val="single" w:color="000000" w:sz="8" w:space="0"/>
              <w:bottom w:val="single" w:color="000000" w:sz="8" w:space="0"/>
              <w:right w:val="single" w:color="000000" w:sz="8" w:space="0"/>
            </w:tcBorders>
            <w:vAlign w:val="center"/>
          </w:tcPr>
          <w:p>
            <w:pPr>
              <w:spacing w:after="0"/>
              <w:ind w:left="89"/>
              <w:jc w:val="both"/>
            </w:pPr>
            <w:r>
              <w:rPr>
                <w:rFonts w:ascii="宋体" w:hAnsi="宋体" w:eastAsia="宋体" w:cs="宋体"/>
                <w:sz w:val="16"/>
              </w:rPr>
              <w:t>房地产开发管理科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80" w:type="dxa"/>
            <w:left w:w="57" w:type="dxa"/>
            <w:bottom w:w="0" w:type="dxa"/>
            <w:right w:w="41"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
              <w:jc w:val="center"/>
            </w:pPr>
            <w:r>
              <w:rPr>
                <w:rFonts w:ascii="宋体" w:hAnsi="宋体" w:eastAsia="宋体" w:cs="宋体"/>
                <w:sz w:val="16"/>
              </w:rPr>
              <w:t>257</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评估专业人员签署虚假评估报告的处罚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《中华人民共和国资产评估法》（主席令第46号）</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80" w:type="dxa"/>
            <w:left w:w="57" w:type="dxa"/>
            <w:bottom w:w="0" w:type="dxa"/>
            <w:right w:w="41" w:type="dxa"/>
          </w:tblCellMar>
        </w:tblPrEx>
        <w:trPr>
          <w:trHeight w:val="1104"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
              <w:jc w:val="center"/>
            </w:pPr>
            <w:r>
              <w:rPr>
                <w:rFonts w:ascii="宋体" w:hAnsi="宋体" w:eastAsia="宋体" w:cs="宋体"/>
                <w:sz w:val="16"/>
              </w:rPr>
              <w:t>258</w:t>
            </w:r>
          </w:p>
        </w:tc>
        <w:tc>
          <w:tcPr>
            <w:tcW w:w="7687" w:type="dxa"/>
            <w:tcBorders>
              <w:top w:val="single" w:color="000000" w:sz="8" w:space="0"/>
              <w:left w:val="single" w:color="000000" w:sz="8" w:space="0"/>
              <w:bottom w:val="single" w:color="000000" w:sz="8" w:space="0"/>
              <w:right w:val="single" w:color="000000" w:sz="8" w:space="0"/>
            </w:tcBorders>
          </w:tcPr>
          <w:p>
            <w:pPr>
              <w:spacing w:after="0"/>
              <w:jc w:val="center"/>
            </w:pPr>
            <w:r>
              <w:rPr>
                <w:rFonts w:ascii="宋体" w:hAnsi="宋体" w:eastAsia="宋体" w:cs="宋体"/>
                <w:sz w:val="16"/>
              </w:rPr>
              <w:t>评估机构利用开展业务之便，谋取不正当利益;允许其他机构以本机构名义开展业务，或者冒用其他机构名义开展业务;以恶性压价、支付回扣、虚假宣传，或者贬损、诋毁其他评估机构等不正当手段招揽业务;受理与自身有利害关系的业务;分别接受利益冲突双方的委托，对同一评估对象进行评估;出具有重大遗漏的评估报告;未按规定的期限保存评估档案;聘用或者指定不符合本法规定的人员从事评估业务;对本机构的评估专业人员疏于管理，造成不良后果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《中华人民共和国资产评估法》（主席令第46号）</w:t>
            </w:r>
          </w:p>
        </w:tc>
        <w:tc>
          <w:tcPr>
            <w:tcW w:w="0" w:type="auto"/>
            <w:vMerge w:val="continue"/>
            <w:tcBorders>
              <w:top w:val="nil"/>
              <w:left w:val="single" w:color="000000" w:sz="8" w:space="0"/>
              <w:bottom w:val="single" w:color="000000" w:sz="8" w:space="0"/>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bl>
    <w:p>
      <w:pPr>
        <w:spacing w:after="0"/>
        <w:ind w:left="-1440" w:right="15394"/>
      </w:pPr>
    </w:p>
    <w:tbl>
      <w:tblPr>
        <w:tblStyle w:val="7"/>
        <w:tblW w:w="15775" w:type="dxa"/>
        <w:tblInd w:w="-1080" w:type="dxa"/>
        <w:tblLayout w:type="autofit"/>
        <w:tblCellMar>
          <w:top w:w="26" w:type="dxa"/>
          <w:left w:w="31" w:type="dxa"/>
          <w:bottom w:w="25" w:type="dxa"/>
          <w:right w:w="34" w:type="dxa"/>
        </w:tblCellMar>
      </w:tblPr>
      <w:tblGrid>
        <w:gridCol w:w="662"/>
        <w:gridCol w:w="7687"/>
        <w:gridCol w:w="4766"/>
        <w:gridCol w:w="1565"/>
        <w:gridCol w:w="1095"/>
      </w:tblGrid>
      <w:tr>
        <w:tblPrEx>
          <w:tblCellMar>
            <w:top w:w="26" w:type="dxa"/>
            <w:left w:w="31" w:type="dxa"/>
            <w:bottom w:w="25" w:type="dxa"/>
            <w:right w:w="34" w:type="dxa"/>
          </w:tblCellMar>
        </w:tblPrEx>
        <w:trPr>
          <w:trHeight w:val="542"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47"/>
            </w:pPr>
            <w:r>
              <w:rPr>
                <w:rFonts w:ascii="黑体" w:hAnsi="黑体" w:eastAsia="黑体" w:cs="黑体"/>
                <w:sz w:val="16"/>
              </w:rPr>
              <w:t>序号</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16"/>
              <w:jc w:val="center"/>
            </w:pPr>
            <w:r>
              <w:rPr>
                <w:rFonts w:ascii="黑体" w:hAnsi="黑体" w:eastAsia="黑体" w:cs="黑体"/>
                <w:sz w:val="16"/>
              </w:rPr>
              <w:t>违法行为</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18"/>
              <w:jc w:val="center"/>
            </w:pPr>
            <w:r>
              <w:rPr>
                <w:rFonts w:ascii="黑体" w:hAnsi="黑体" w:eastAsia="黑体" w:cs="黑体"/>
                <w:sz w:val="16"/>
              </w:rPr>
              <w:t>行政处罚实施依据</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19"/>
              <w:jc w:val="center"/>
            </w:pPr>
            <w:r>
              <w:rPr>
                <w:rFonts w:ascii="黑体" w:hAnsi="黑体" w:eastAsia="黑体" w:cs="黑体"/>
                <w:sz w:val="16"/>
              </w:rPr>
              <w:t>责任科室</w:t>
            </w:r>
          </w:p>
        </w:tc>
        <w:tc>
          <w:tcPr>
            <w:tcW w:w="1094" w:type="dxa"/>
            <w:tcBorders>
              <w:top w:val="single" w:color="000000" w:sz="8" w:space="0"/>
              <w:left w:val="single" w:color="000000" w:sz="8" w:space="0"/>
              <w:bottom w:val="single" w:color="000000" w:sz="8" w:space="0"/>
              <w:right w:val="single" w:color="000000" w:sz="8" w:space="0"/>
            </w:tcBorders>
            <w:vAlign w:val="center"/>
          </w:tcPr>
          <w:p>
            <w:pPr>
              <w:spacing w:after="0"/>
              <w:ind w:left="18"/>
              <w:jc w:val="center"/>
            </w:pPr>
            <w:r>
              <w:rPr>
                <w:rFonts w:ascii="黑体" w:hAnsi="黑体" w:eastAsia="黑体" w:cs="黑体"/>
                <w:sz w:val="16"/>
              </w:rPr>
              <w:t>备注</w:t>
            </w:r>
          </w:p>
        </w:tc>
      </w:tr>
      <w:tr>
        <w:tblPrEx>
          <w:tblCellMar>
            <w:top w:w="26" w:type="dxa"/>
            <w:left w:w="31" w:type="dxa"/>
            <w:bottom w:w="25" w:type="dxa"/>
            <w:right w:w="34"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21"/>
              <w:jc w:val="center"/>
            </w:pPr>
            <w:r>
              <w:rPr>
                <w:rFonts w:ascii="宋体" w:hAnsi="宋体" w:eastAsia="宋体" w:cs="宋体"/>
                <w:sz w:val="16"/>
              </w:rPr>
              <w:t>259</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18"/>
              <w:jc w:val="center"/>
            </w:pPr>
            <w:r>
              <w:rPr>
                <w:rFonts w:ascii="宋体" w:hAnsi="宋体" w:eastAsia="宋体" w:cs="宋体"/>
                <w:sz w:val="16"/>
              </w:rPr>
              <w:t>评估机构未按规定备案或者不符合《中华人民共和国资产评估法》第十五条规定的条件的处罚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19"/>
              <w:jc w:val="center"/>
            </w:pPr>
            <w:r>
              <w:rPr>
                <w:rFonts w:ascii="宋体" w:hAnsi="宋体" w:eastAsia="宋体" w:cs="宋体"/>
                <w:sz w:val="16"/>
              </w:rPr>
              <w:t>《中华人民共和国资产评估法》（主席令第46号）</w:t>
            </w:r>
          </w:p>
        </w:tc>
        <w:tc>
          <w:tcPr>
            <w:tcW w:w="1565" w:type="dxa"/>
            <w:vMerge w:val="restart"/>
            <w:tcBorders>
              <w:top w:val="single" w:color="000000" w:sz="8" w:space="0"/>
              <w:left w:val="single" w:color="000000" w:sz="8" w:space="0"/>
              <w:bottom w:val="nil"/>
              <w:right w:val="single" w:color="000000" w:sz="8" w:space="0"/>
            </w:tcBorders>
            <w:vAlign w:val="bottom"/>
          </w:tcPr>
          <w:p>
            <w:pPr>
              <w:spacing w:after="0"/>
              <w:ind w:left="115"/>
              <w:jc w:val="both"/>
            </w:pPr>
            <w:r>
              <w:rPr>
                <w:rFonts w:ascii="宋体" w:hAnsi="宋体" w:eastAsia="宋体" w:cs="宋体"/>
                <w:sz w:val="16"/>
              </w:rPr>
              <w:t>房地产开发管理科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6" w:type="dxa"/>
            <w:left w:w="31" w:type="dxa"/>
            <w:bottom w:w="25" w:type="dxa"/>
            <w:right w:w="34" w:type="dxa"/>
          </w:tblCellMar>
        </w:tblPrEx>
        <w:trPr>
          <w:trHeight w:val="166" w:hRule="atLeast"/>
        </w:trPr>
        <w:tc>
          <w:tcPr>
            <w:tcW w:w="662" w:type="dxa"/>
            <w:tcBorders>
              <w:top w:val="single" w:color="000000" w:sz="8" w:space="0"/>
              <w:left w:val="single" w:color="000000" w:sz="8" w:space="0"/>
              <w:bottom w:val="nil"/>
              <w:right w:val="single" w:color="000000" w:sz="8" w:space="0"/>
            </w:tcBorders>
          </w:tcPr>
          <w:p>
            <w:pPr>
              <w:spacing w:after="0"/>
            </w:pPr>
          </w:p>
        </w:tc>
        <w:tc>
          <w:tcPr>
            <w:tcW w:w="7687" w:type="dxa"/>
            <w:tcBorders>
              <w:top w:val="single" w:color="000000" w:sz="8" w:space="0"/>
              <w:left w:val="single" w:color="000000" w:sz="8" w:space="0"/>
              <w:bottom w:val="nil"/>
              <w:right w:val="single" w:color="000000" w:sz="8" w:space="0"/>
            </w:tcBorders>
          </w:tcPr>
          <w:p>
            <w:pPr>
              <w:spacing w:after="0"/>
            </w:pPr>
          </w:p>
        </w:tc>
        <w:tc>
          <w:tcPr>
            <w:tcW w:w="4766" w:type="dxa"/>
            <w:tcBorders>
              <w:top w:val="single" w:color="000000" w:sz="8" w:space="0"/>
              <w:left w:val="single" w:color="000000" w:sz="8" w:space="0"/>
              <w:bottom w:val="nil"/>
              <w:right w:val="single" w:color="000000" w:sz="8" w:space="0"/>
            </w:tcBorders>
          </w:tcPr>
          <w:p>
            <w:pPr>
              <w:spacing w:after="0"/>
            </w:pP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nil"/>
              <w:right w:val="single" w:color="000000" w:sz="8" w:space="0"/>
            </w:tcBorders>
          </w:tcPr>
          <w:p>
            <w:pPr>
              <w:spacing w:after="0"/>
            </w:pPr>
          </w:p>
        </w:tc>
      </w:tr>
      <w:tr>
        <w:tblPrEx>
          <w:tblCellMar>
            <w:top w:w="26" w:type="dxa"/>
            <w:left w:w="31" w:type="dxa"/>
            <w:bottom w:w="25" w:type="dxa"/>
            <w:right w:w="34" w:type="dxa"/>
          </w:tblCellMar>
        </w:tblPrEx>
        <w:trPr>
          <w:trHeight w:val="453" w:hRule="atLeast"/>
        </w:trPr>
        <w:tc>
          <w:tcPr>
            <w:tcW w:w="662" w:type="dxa"/>
            <w:tcBorders>
              <w:top w:val="nil"/>
              <w:left w:val="single" w:color="000000" w:sz="8" w:space="0"/>
              <w:bottom w:val="single" w:color="000000" w:sz="8" w:space="0"/>
              <w:right w:val="single" w:color="000000" w:sz="8" w:space="0"/>
            </w:tcBorders>
          </w:tcPr>
          <w:p>
            <w:pPr>
              <w:spacing w:after="0"/>
              <w:ind w:left="21"/>
              <w:jc w:val="center"/>
            </w:pPr>
            <w:r>
              <w:rPr>
                <w:rFonts w:ascii="宋体" w:hAnsi="宋体" w:eastAsia="宋体" w:cs="宋体"/>
                <w:sz w:val="16"/>
              </w:rPr>
              <w:t>260</w:t>
            </w:r>
          </w:p>
        </w:tc>
        <w:tc>
          <w:tcPr>
            <w:tcW w:w="7687" w:type="dxa"/>
            <w:tcBorders>
              <w:top w:val="nil"/>
              <w:left w:val="single" w:color="000000" w:sz="8" w:space="0"/>
              <w:bottom w:val="single" w:color="000000" w:sz="8" w:space="0"/>
              <w:right w:val="single" w:color="000000" w:sz="8" w:space="0"/>
            </w:tcBorders>
          </w:tcPr>
          <w:p>
            <w:pPr>
              <w:spacing w:after="0"/>
              <w:ind w:left="18"/>
              <w:jc w:val="center"/>
            </w:pPr>
            <w:r>
              <w:rPr>
                <w:rFonts w:ascii="宋体" w:hAnsi="宋体" w:eastAsia="宋体" w:cs="宋体"/>
                <w:sz w:val="16"/>
              </w:rPr>
              <w:t>评估机构违反规定出具虚假评估报告的的处罚</w:t>
            </w:r>
          </w:p>
        </w:tc>
        <w:tc>
          <w:tcPr>
            <w:tcW w:w="4766" w:type="dxa"/>
            <w:tcBorders>
              <w:top w:val="nil"/>
              <w:left w:val="single" w:color="000000" w:sz="8" w:space="0"/>
              <w:bottom w:val="single" w:color="000000" w:sz="8" w:space="0"/>
              <w:right w:val="single" w:color="000000" w:sz="8" w:space="0"/>
            </w:tcBorders>
          </w:tcPr>
          <w:p>
            <w:pPr>
              <w:spacing w:after="0"/>
              <w:ind w:left="19"/>
              <w:jc w:val="center"/>
            </w:pPr>
            <w:r>
              <w:rPr>
                <w:rFonts w:ascii="宋体" w:hAnsi="宋体" w:eastAsia="宋体" w:cs="宋体"/>
                <w:sz w:val="16"/>
              </w:rPr>
              <w:t>《中华人民共和国资产评估法》（主席令第46号）</w:t>
            </w:r>
          </w:p>
        </w:tc>
        <w:tc>
          <w:tcPr>
            <w:tcW w:w="1565" w:type="dxa"/>
            <w:tcBorders>
              <w:top w:val="nil"/>
              <w:left w:val="single" w:color="000000" w:sz="8" w:space="0"/>
              <w:bottom w:val="single" w:color="000000" w:sz="8" w:space="0"/>
              <w:right w:val="single" w:color="000000" w:sz="8" w:space="0"/>
            </w:tcBorders>
          </w:tcPr>
          <w:p>
            <w:pPr>
              <w:spacing w:after="0"/>
            </w:pPr>
          </w:p>
        </w:tc>
        <w:tc>
          <w:tcPr>
            <w:tcW w:w="1094" w:type="dxa"/>
            <w:tcBorders>
              <w:top w:val="nil"/>
              <w:left w:val="single" w:color="000000" w:sz="8" w:space="0"/>
              <w:bottom w:val="single" w:color="000000" w:sz="8" w:space="0"/>
              <w:right w:val="single" w:color="000000" w:sz="8" w:space="0"/>
            </w:tcBorders>
          </w:tcPr>
          <w:p>
            <w:pPr>
              <w:spacing w:after="0"/>
            </w:pPr>
          </w:p>
        </w:tc>
      </w:tr>
      <w:tr>
        <w:tblPrEx>
          <w:tblCellMar>
            <w:top w:w="26" w:type="dxa"/>
            <w:left w:w="31" w:type="dxa"/>
            <w:bottom w:w="25" w:type="dxa"/>
            <w:right w:w="34"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21"/>
              <w:jc w:val="center"/>
            </w:pPr>
            <w:r>
              <w:rPr>
                <w:rFonts w:ascii="宋体" w:hAnsi="宋体" w:eastAsia="宋体" w:cs="宋体"/>
                <w:sz w:val="16"/>
              </w:rPr>
              <w:t>261</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21"/>
              <w:jc w:val="center"/>
            </w:pPr>
            <w:r>
              <w:rPr>
                <w:rFonts w:ascii="宋体" w:hAnsi="宋体" w:eastAsia="宋体" w:cs="宋体"/>
                <w:sz w:val="16"/>
              </w:rPr>
              <w:t>隐瞒有关情况或者提供虚假材料申请廉租住房保障的处罚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16"/>
              <w:jc w:val="center"/>
            </w:pPr>
            <w:r>
              <w:rPr>
                <w:rFonts w:ascii="宋体" w:hAnsi="宋体" w:eastAsia="宋体" w:cs="宋体"/>
                <w:sz w:val="16"/>
              </w:rPr>
              <w:t>《廉租住房保障办法》（建设部令第162号）</w:t>
            </w:r>
          </w:p>
        </w:tc>
        <w:tc>
          <w:tcPr>
            <w:tcW w:w="1565" w:type="dxa"/>
            <w:vMerge w:val="restart"/>
            <w:tcBorders>
              <w:top w:val="single" w:color="000000" w:sz="8" w:space="0"/>
              <w:left w:val="single" w:color="000000" w:sz="8" w:space="0"/>
              <w:bottom w:val="nil"/>
              <w:right w:val="single" w:color="000000" w:sz="8" w:space="0"/>
            </w:tcBorders>
            <w:vAlign w:val="bottom"/>
          </w:tcPr>
          <w:p>
            <w:pPr>
              <w:spacing w:after="0"/>
              <w:ind w:left="20"/>
              <w:jc w:val="center"/>
            </w:pPr>
            <w:r>
              <w:rPr>
                <w:rFonts w:ascii="宋体" w:hAnsi="宋体" w:eastAsia="宋体" w:cs="宋体"/>
                <w:sz w:val="16"/>
              </w:rPr>
              <w:t>住房保障科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6" w:type="dxa"/>
            <w:left w:w="31" w:type="dxa"/>
            <w:bottom w:w="25" w:type="dxa"/>
            <w:right w:w="34" w:type="dxa"/>
          </w:tblCellMar>
        </w:tblPrEx>
        <w:trPr>
          <w:trHeight w:val="165" w:hRule="atLeast"/>
        </w:trPr>
        <w:tc>
          <w:tcPr>
            <w:tcW w:w="662" w:type="dxa"/>
            <w:tcBorders>
              <w:top w:val="single" w:color="000000" w:sz="8" w:space="0"/>
              <w:left w:val="single" w:color="000000" w:sz="8" w:space="0"/>
              <w:bottom w:val="nil"/>
              <w:right w:val="single" w:color="000000" w:sz="8" w:space="0"/>
            </w:tcBorders>
          </w:tcPr>
          <w:p>
            <w:pPr>
              <w:spacing w:after="0"/>
            </w:pPr>
          </w:p>
        </w:tc>
        <w:tc>
          <w:tcPr>
            <w:tcW w:w="7687" w:type="dxa"/>
            <w:tcBorders>
              <w:top w:val="single" w:color="000000" w:sz="8" w:space="0"/>
              <w:left w:val="single" w:color="000000" w:sz="8" w:space="0"/>
              <w:bottom w:val="nil"/>
              <w:right w:val="single" w:color="000000" w:sz="8" w:space="0"/>
            </w:tcBorders>
          </w:tcPr>
          <w:p>
            <w:pPr>
              <w:spacing w:after="0"/>
            </w:pPr>
          </w:p>
        </w:tc>
        <w:tc>
          <w:tcPr>
            <w:tcW w:w="4766" w:type="dxa"/>
            <w:tcBorders>
              <w:top w:val="single" w:color="000000" w:sz="8" w:space="0"/>
              <w:left w:val="single" w:color="000000" w:sz="8" w:space="0"/>
              <w:bottom w:val="nil"/>
              <w:right w:val="single" w:color="000000" w:sz="8" w:space="0"/>
            </w:tcBorders>
          </w:tcPr>
          <w:p>
            <w:pPr>
              <w:spacing w:after="0"/>
            </w:pP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nil"/>
              <w:right w:val="single" w:color="000000" w:sz="8" w:space="0"/>
            </w:tcBorders>
          </w:tcPr>
          <w:p>
            <w:pPr>
              <w:spacing w:after="0"/>
            </w:pPr>
          </w:p>
        </w:tc>
      </w:tr>
      <w:tr>
        <w:tblPrEx>
          <w:tblCellMar>
            <w:top w:w="26" w:type="dxa"/>
            <w:left w:w="31" w:type="dxa"/>
            <w:bottom w:w="25" w:type="dxa"/>
            <w:right w:w="34" w:type="dxa"/>
          </w:tblCellMar>
        </w:tblPrEx>
        <w:trPr>
          <w:trHeight w:val="454" w:hRule="atLeast"/>
        </w:trPr>
        <w:tc>
          <w:tcPr>
            <w:tcW w:w="662" w:type="dxa"/>
            <w:tcBorders>
              <w:top w:val="nil"/>
              <w:left w:val="single" w:color="000000" w:sz="8" w:space="0"/>
              <w:bottom w:val="single" w:color="000000" w:sz="8" w:space="0"/>
              <w:right w:val="single" w:color="000000" w:sz="8" w:space="0"/>
            </w:tcBorders>
          </w:tcPr>
          <w:p>
            <w:pPr>
              <w:spacing w:after="0"/>
              <w:ind w:left="21"/>
              <w:jc w:val="center"/>
            </w:pPr>
            <w:r>
              <w:rPr>
                <w:rFonts w:ascii="宋体" w:hAnsi="宋体" w:eastAsia="宋体" w:cs="宋体"/>
                <w:sz w:val="16"/>
              </w:rPr>
              <w:t>262</w:t>
            </w:r>
          </w:p>
        </w:tc>
        <w:tc>
          <w:tcPr>
            <w:tcW w:w="7687" w:type="dxa"/>
            <w:tcBorders>
              <w:top w:val="nil"/>
              <w:left w:val="single" w:color="000000" w:sz="8" w:space="0"/>
              <w:bottom w:val="single" w:color="000000" w:sz="8" w:space="0"/>
              <w:right w:val="single" w:color="000000" w:sz="8" w:space="0"/>
            </w:tcBorders>
          </w:tcPr>
          <w:p>
            <w:pPr>
              <w:spacing w:after="0"/>
              <w:ind w:left="18"/>
              <w:jc w:val="center"/>
            </w:pPr>
            <w:r>
              <w:rPr>
                <w:rFonts w:ascii="宋体" w:hAnsi="宋体" w:eastAsia="宋体" w:cs="宋体"/>
                <w:sz w:val="16"/>
              </w:rPr>
              <w:t>以欺骗等不正当手段，取得审核同意或者获得廉租住房保障的处罚</w:t>
            </w:r>
          </w:p>
        </w:tc>
        <w:tc>
          <w:tcPr>
            <w:tcW w:w="4766" w:type="dxa"/>
            <w:tcBorders>
              <w:top w:val="nil"/>
              <w:left w:val="single" w:color="000000" w:sz="8" w:space="0"/>
              <w:bottom w:val="single" w:color="000000" w:sz="8" w:space="0"/>
              <w:right w:val="single" w:color="000000" w:sz="8" w:space="0"/>
            </w:tcBorders>
          </w:tcPr>
          <w:p>
            <w:pPr>
              <w:spacing w:after="0"/>
              <w:ind w:left="16"/>
              <w:jc w:val="center"/>
            </w:pPr>
            <w:r>
              <w:rPr>
                <w:rFonts w:ascii="宋体" w:hAnsi="宋体" w:eastAsia="宋体" w:cs="宋体"/>
                <w:sz w:val="16"/>
              </w:rPr>
              <w:t>《廉租住房保障办法》（建设部令第162号）</w:t>
            </w:r>
          </w:p>
        </w:tc>
        <w:tc>
          <w:tcPr>
            <w:tcW w:w="1565" w:type="dxa"/>
            <w:tcBorders>
              <w:top w:val="nil"/>
              <w:left w:val="single" w:color="000000" w:sz="8" w:space="0"/>
              <w:bottom w:val="single" w:color="000000" w:sz="8" w:space="0"/>
              <w:right w:val="single" w:color="000000" w:sz="8" w:space="0"/>
            </w:tcBorders>
          </w:tcPr>
          <w:p>
            <w:pPr>
              <w:spacing w:after="0"/>
            </w:pPr>
          </w:p>
        </w:tc>
        <w:tc>
          <w:tcPr>
            <w:tcW w:w="1094" w:type="dxa"/>
            <w:tcBorders>
              <w:top w:val="nil"/>
              <w:left w:val="single" w:color="000000" w:sz="8" w:space="0"/>
              <w:bottom w:val="single" w:color="000000" w:sz="8" w:space="0"/>
              <w:right w:val="single" w:color="000000" w:sz="8" w:space="0"/>
            </w:tcBorders>
          </w:tcPr>
          <w:p>
            <w:pPr>
              <w:spacing w:after="0"/>
            </w:pPr>
          </w:p>
        </w:tc>
      </w:tr>
      <w:tr>
        <w:tblPrEx>
          <w:tblCellMar>
            <w:top w:w="26" w:type="dxa"/>
            <w:left w:w="31" w:type="dxa"/>
            <w:bottom w:w="25" w:type="dxa"/>
            <w:right w:w="34"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21"/>
              <w:jc w:val="center"/>
            </w:pPr>
            <w:r>
              <w:rPr>
                <w:rFonts w:ascii="宋体" w:hAnsi="宋体" w:eastAsia="宋体" w:cs="宋体"/>
                <w:sz w:val="16"/>
              </w:rPr>
              <w:t>263</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19"/>
              <w:jc w:val="center"/>
            </w:pPr>
            <w:r>
              <w:rPr>
                <w:rFonts w:ascii="宋体" w:hAnsi="宋体" w:eastAsia="宋体" w:cs="宋体"/>
                <w:sz w:val="16"/>
              </w:rPr>
              <w:t>预拌混凝土、预拌砂浆和水泥制品生产企业使用袋装水泥的处罚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《散装水泥管理办法》（商务部、财政部、建设部、铁道部、交通部、国家质量监督检验检疫总局、国家环境保护总局令第5号）</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276"/>
            </w:pPr>
            <w:r>
              <w:rPr>
                <w:rFonts w:ascii="宋体" w:hAnsi="宋体" w:eastAsia="宋体" w:cs="宋体"/>
                <w:sz w:val="16"/>
              </w:rPr>
              <w:t>科技与标准科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6" w:type="dxa"/>
            <w:left w:w="31" w:type="dxa"/>
            <w:bottom w:w="25" w:type="dxa"/>
            <w:right w:w="34" w:type="dxa"/>
          </w:tblCellMar>
        </w:tblPrEx>
        <w:trPr>
          <w:trHeight w:val="715"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21"/>
              <w:jc w:val="center"/>
            </w:pPr>
            <w:r>
              <w:rPr>
                <w:rFonts w:ascii="宋体" w:hAnsi="宋体" w:eastAsia="宋体" w:cs="宋体"/>
                <w:sz w:val="16"/>
              </w:rPr>
              <w:t>264</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21"/>
              <w:jc w:val="center"/>
            </w:pPr>
            <w:r>
              <w:rPr>
                <w:rFonts w:ascii="宋体" w:hAnsi="宋体" w:eastAsia="宋体" w:cs="宋体"/>
                <w:sz w:val="16"/>
              </w:rPr>
              <w:t>施工单位不履行或拖延履行保修义务的处罚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19"/>
              <w:jc w:val="both"/>
            </w:pPr>
            <w:r>
              <w:rPr>
                <w:rFonts w:ascii="宋体" w:hAnsi="宋体" w:eastAsia="宋体" w:cs="宋体"/>
                <w:sz w:val="16"/>
              </w:rPr>
              <w:t>《建设工程质量管理条例》（根据2019年4月23日国务院令第714号</w:t>
            </w:r>
          </w:p>
          <w:p>
            <w:pPr>
              <w:spacing w:after="0"/>
              <w:ind w:left="16"/>
              <w:jc w:val="center"/>
            </w:pPr>
            <w:r>
              <w:rPr>
                <w:rFonts w:ascii="宋体" w:hAnsi="宋体" w:eastAsia="宋体" w:cs="宋体"/>
                <w:sz w:val="16"/>
              </w:rPr>
              <w:t>《国务院关于修改部分行政法规的决定》第二次修正）</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jc w:val="both"/>
            </w:pPr>
            <w:r>
              <w:rPr>
                <w:rFonts w:ascii="宋体" w:hAnsi="宋体" w:eastAsia="宋体" w:cs="宋体"/>
                <w:sz w:val="16"/>
              </w:rPr>
              <w:t>工程质量安全管理科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6" w:type="dxa"/>
            <w:left w:w="31" w:type="dxa"/>
            <w:bottom w:w="25" w:type="dxa"/>
            <w:right w:w="34" w:type="dxa"/>
          </w:tblCellMar>
        </w:tblPrEx>
        <w:trPr>
          <w:trHeight w:val="562"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21"/>
              <w:jc w:val="center"/>
            </w:pPr>
            <w:r>
              <w:rPr>
                <w:rFonts w:ascii="宋体" w:hAnsi="宋体" w:eastAsia="宋体" w:cs="宋体"/>
                <w:sz w:val="16"/>
              </w:rPr>
              <w:t>265</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18"/>
              <w:jc w:val="center"/>
            </w:pPr>
            <w:r>
              <w:rPr>
                <w:rFonts w:ascii="宋体" w:hAnsi="宋体" w:eastAsia="宋体" w:cs="宋体"/>
                <w:sz w:val="16"/>
              </w:rPr>
              <w:t>强制执行停产停业、停止使用、停止施工决定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18"/>
              <w:jc w:val="center"/>
            </w:pPr>
            <w:r>
              <w:rPr>
                <w:rFonts w:ascii="宋体" w:hAnsi="宋体" w:eastAsia="宋体" w:cs="宋体"/>
                <w:sz w:val="16"/>
              </w:rPr>
              <w:t>《中华人民共和国消防法》</w:t>
            </w:r>
          </w:p>
        </w:tc>
        <w:tc>
          <w:tcPr>
            <w:tcW w:w="1565" w:type="dxa"/>
            <w:tcBorders>
              <w:top w:val="single" w:color="000000" w:sz="8" w:space="0"/>
              <w:left w:val="single" w:color="000000" w:sz="8" w:space="0"/>
              <w:bottom w:val="single" w:color="000000" w:sz="8" w:space="0"/>
              <w:right w:val="single" w:color="000000" w:sz="8" w:space="0"/>
            </w:tcBorders>
          </w:tcPr>
          <w:p>
            <w:pPr>
              <w:spacing w:after="0"/>
              <w:jc w:val="both"/>
            </w:pPr>
            <w:r>
              <w:rPr>
                <w:rFonts w:ascii="宋体" w:hAnsi="宋体" w:eastAsia="宋体" w:cs="宋体"/>
                <w:sz w:val="16"/>
              </w:rPr>
              <w:t>工程质量安全管理科</w:t>
            </w:r>
          </w:p>
          <w:p>
            <w:pPr>
              <w:spacing w:after="0"/>
            </w:pPr>
            <w:r>
              <w:rPr>
                <w:rFonts w:ascii="宋体" w:hAnsi="宋体" w:eastAsia="宋体" w:cs="宋体"/>
                <w:sz w:val="16"/>
              </w:rPr>
              <w:t>、科技与标准科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6" w:type="dxa"/>
            <w:left w:w="31" w:type="dxa"/>
            <w:bottom w:w="25" w:type="dxa"/>
            <w:right w:w="34"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21"/>
              <w:jc w:val="center"/>
            </w:pPr>
            <w:r>
              <w:rPr>
                <w:rFonts w:ascii="宋体" w:hAnsi="宋体" w:eastAsia="宋体" w:cs="宋体"/>
                <w:sz w:val="16"/>
              </w:rPr>
              <w:t>266</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18"/>
              <w:jc w:val="center"/>
            </w:pPr>
            <w:r>
              <w:rPr>
                <w:rFonts w:ascii="宋体" w:hAnsi="宋体" w:eastAsia="宋体" w:cs="宋体"/>
                <w:sz w:val="16"/>
              </w:rPr>
              <w:t>建设单位明示或者暗示其委托的单位违反绿色建筑等级和标准进行项目设计、施工、监理的处罚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16"/>
              <w:jc w:val="center"/>
            </w:pPr>
            <w:r>
              <w:rPr>
                <w:rFonts w:ascii="宋体" w:hAnsi="宋体" w:eastAsia="宋体" w:cs="宋体"/>
                <w:sz w:val="16"/>
              </w:rPr>
              <w:t>《河南省绿色建筑条例》</w:t>
            </w:r>
          </w:p>
        </w:tc>
        <w:tc>
          <w:tcPr>
            <w:tcW w:w="1565" w:type="dxa"/>
            <w:vMerge w:val="restart"/>
            <w:tcBorders>
              <w:top w:val="single" w:color="000000" w:sz="8" w:space="0"/>
              <w:left w:val="single" w:color="000000" w:sz="8" w:space="0"/>
              <w:bottom w:val="nil"/>
              <w:right w:val="single" w:color="000000" w:sz="8" w:space="0"/>
            </w:tcBorders>
            <w:vAlign w:val="bottom"/>
          </w:tcPr>
          <w:p>
            <w:pPr>
              <w:spacing w:after="0"/>
              <w:ind w:left="276"/>
            </w:pPr>
            <w:r>
              <w:rPr>
                <w:rFonts w:ascii="宋体" w:hAnsi="宋体" w:eastAsia="宋体" w:cs="宋体"/>
                <w:sz w:val="16"/>
              </w:rPr>
              <w:t>科技与标准科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6" w:type="dxa"/>
            <w:left w:w="31" w:type="dxa"/>
            <w:bottom w:w="25" w:type="dxa"/>
            <w:right w:w="34" w:type="dxa"/>
          </w:tblCellMar>
        </w:tblPrEx>
        <w:trPr>
          <w:trHeight w:val="117" w:hRule="atLeast"/>
        </w:trPr>
        <w:tc>
          <w:tcPr>
            <w:tcW w:w="662" w:type="dxa"/>
            <w:tcBorders>
              <w:top w:val="single" w:color="000000" w:sz="8" w:space="0"/>
              <w:left w:val="single" w:color="000000" w:sz="8" w:space="0"/>
              <w:bottom w:val="nil"/>
              <w:right w:val="single" w:color="000000" w:sz="8" w:space="0"/>
            </w:tcBorders>
          </w:tcPr>
          <w:p>
            <w:pPr>
              <w:spacing w:after="0"/>
            </w:pPr>
          </w:p>
        </w:tc>
        <w:tc>
          <w:tcPr>
            <w:tcW w:w="7687" w:type="dxa"/>
            <w:tcBorders>
              <w:top w:val="single" w:color="000000" w:sz="8" w:space="0"/>
              <w:left w:val="single" w:color="000000" w:sz="8" w:space="0"/>
              <w:bottom w:val="nil"/>
              <w:right w:val="single" w:color="000000" w:sz="8" w:space="0"/>
            </w:tcBorders>
          </w:tcPr>
          <w:p>
            <w:pPr>
              <w:spacing w:after="0"/>
            </w:pPr>
          </w:p>
        </w:tc>
        <w:tc>
          <w:tcPr>
            <w:tcW w:w="4766" w:type="dxa"/>
            <w:tcBorders>
              <w:top w:val="single" w:color="000000" w:sz="8" w:space="0"/>
              <w:left w:val="single" w:color="000000" w:sz="8" w:space="0"/>
              <w:bottom w:val="nil"/>
              <w:right w:val="single" w:color="000000" w:sz="8" w:space="0"/>
            </w:tcBorders>
          </w:tcPr>
          <w:p>
            <w:pPr>
              <w:spacing w:after="0"/>
            </w:pP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nil"/>
              <w:right w:val="single" w:color="000000" w:sz="8" w:space="0"/>
            </w:tcBorders>
          </w:tcPr>
          <w:p>
            <w:pPr>
              <w:spacing w:after="0"/>
            </w:pPr>
          </w:p>
        </w:tc>
      </w:tr>
      <w:tr>
        <w:tblPrEx>
          <w:tblCellMar>
            <w:top w:w="26" w:type="dxa"/>
            <w:left w:w="31" w:type="dxa"/>
            <w:bottom w:w="25" w:type="dxa"/>
            <w:right w:w="34" w:type="dxa"/>
          </w:tblCellMar>
        </w:tblPrEx>
        <w:trPr>
          <w:trHeight w:val="503" w:hRule="atLeast"/>
        </w:trPr>
        <w:tc>
          <w:tcPr>
            <w:tcW w:w="662" w:type="dxa"/>
            <w:tcBorders>
              <w:top w:val="nil"/>
              <w:left w:val="single" w:color="000000" w:sz="8" w:space="0"/>
              <w:bottom w:val="single" w:color="000000" w:sz="8" w:space="0"/>
              <w:right w:val="single" w:color="000000" w:sz="8" w:space="0"/>
            </w:tcBorders>
            <w:vAlign w:val="center"/>
          </w:tcPr>
          <w:p>
            <w:pPr>
              <w:spacing w:after="0"/>
              <w:ind w:left="21"/>
              <w:jc w:val="center"/>
            </w:pPr>
            <w:r>
              <w:rPr>
                <w:rFonts w:ascii="宋体" w:hAnsi="宋体" w:eastAsia="宋体" w:cs="宋体"/>
                <w:sz w:val="16"/>
              </w:rPr>
              <w:t>267</w:t>
            </w:r>
          </w:p>
        </w:tc>
        <w:tc>
          <w:tcPr>
            <w:tcW w:w="7687" w:type="dxa"/>
            <w:tcBorders>
              <w:top w:val="nil"/>
              <w:left w:val="single" w:color="000000" w:sz="8" w:space="0"/>
              <w:bottom w:val="single" w:color="000000" w:sz="8" w:space="0"/>
              <w:right w:val="single" w:color="000000" w:sz="8" w:space="0"/>
            </w:tcBorders>
          </w:tcPr>
          <w:p>
            <w:pPr>
              <w:spacing w:after="0"/>
              <w:jc w:val="center"/>
            </w:pPr>
            <w:r>
              <w:rPr>
                <w:rFonts w:ascii="宋体" w:hAnsi="宋体" w:eastAsia="宋体" w:cs="宋体"/>
                <w:sz w:val="16"/>
              </w:rPr>
              <w:t>设计单位未按照绿色建筑等级和标准进行设计，或者选用不符合绿色建筑标准要求的材料、构件、设备的处罚</w:t>
            </w:r>
          </w:p>
        </w:tc>
        <w:tc>
          <w:tcPr>
            <w:tcW w:w="4766" w:type="dxa"/>
            <w:tcBorders>
              <w:top w:val="nil"/>
              <w:left w:val="single" w:color="000000" w:sz="8" w:space="0"/>
              <w:bottom w:val="single" w:color="000000" w:sz="8" w:space="0"/>
              <w:right w:val="single" w:color="000000" w:sz="8" w:space="0"/>
            </w:tcBorders>
            <w:vAlign w:val="center"/>
          </w:tcPr>
          <w:p>
            <w:pPr>
              <w:spacing w:after="0"/>
              <w:ind w:left="16"/>
              <w:jc w:val="center"/>
            </w:pPr>
            <w:r>
              <w:rPr>
                <w:rFonts w:ascii="宋体" w:hAnsi="宋体" w:eastAsia="宋体" w:cs="宋体"/>
                <w:sz w:val="16"/>
              </w:rPr>
              <w:t>《河南省绿色建筑条例》</w:t>
            </w:r>
          </w:p>
        </w:tc>
        <w:tc>
          <w:tcPr>
            <w:tcW w:w="1565" w:type="dxa"/>
            <w:tcBorders>
              <w:top w:val="nil"/>
              <w:left w:val="single" w:color="000000" w:sz="8" w:space="0"/>
              <w:bottom w:val="single" w:color="000000" w:sz="8" w:space="0"/>
              <w:right w:val="single" w:color="000000" w:sz="8" w:space="0"/>
            </w:tcBorders>
          </w:tcPr>
          <w:p>
            <w:pPr>
              <w:spacing w:after="0"/>
            </w:pPr>
          </w:p>
        </w:tc>
        <w:tc>
          <w:tcPr>
            <w:tcW w:w="1094" w:type="dxa"/>
            <w:tcBorders>
              <w:top w:val="nil"/>
              <w:left w:val="single" w:color="000000" w:sz="8" w:space="0"/>
              <w:bottom w:val="single" w:color="000000" w:sz="8" w:space="0"/>
              <w:right w:val="single" w:color="000000" w:sz="8" w:space="0"/>
            </w:tcBorders>
          </w:tcPr>
          <w:p>
            <w:pPr>
              <w:spacing w:after="0"/>
            </w:pPr>
          </w:p>
        </w:tc>
      </w:tr>
      <w:tr>
        <w:tblPrEx>
          <w:tblCellMar>
            <w:top w:w="26" w:type="dxa"/>
            <w:left w:w="31" w:type="dxa"/>
            <w:bottom w:w="25" w:type="dxa"/>
            <w:right w:w="34"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21"/>
              <w:jc w:val="center"/>
            </w:pPr>
            <w:r>
              <w:rPr>
                <w:rFonts w:ascii="宋体" w:hAnsi="宋体" w:eastAsia="宋体" w:cs="宋体"/>
                <w:sz w:val="16"/>
              </w:rPr>
              <w:t>268</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279"/>
            </w:pPr>
            <w:r>
              <w:rPr>
                <w:rFonts w:ascii="宋体" w:hAnsi="宋体" w:eastAsia="宋体" w:cs="宋体"/>
                <w:sz w:val="16"/>
              </w:rPr>
              <w:t>施工图设计文件审查机构对不符合绿色建筑等级和标准要求的施工图设计文件出具审查合格意见处罚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16"/>
              <w:jc w:val="center"/>
            </w:pPr>
            <w:r>
              <w:rPr>
                <w:rFonts w:ascii="宋体" w:hAnsi="宋体" w:eastAsia="宋体" w:cs="宋体"/>
                <w:sz w:val="16"/>
              </w:rPr>
              <w:t>《河南省绿色建筑条例》</w:t>
            </w:r>
          </w:p>
        </w:tc>
        <w:tc>
          <w:tcPr>
            <w:tcW w:w="1565" w:type="dxa"/>
            <w:vMerge w:val="restart"/>
            <w:tcBorders>
              <w:top w:val="single" w:color="000000" w:sz="8" w:space="0"/>
              <w:left w:val="single" w:color="000000" w:sz="8" w:space="0"/>
              <w:bottom w:val="single" w:color="000000" w:sz="8" w:space="0"/>
              <w:right w:val="single" w:color="000000" w:sz="8" w:space="0"/>
            </w:tcBorders>
            <w:vAlign w:val="center"/>
          </w:tcPr>
          <w:p>
            <w:pPr>
              <w:spacing w:after="0"/>
              <w:ind w:left="276"/>
            </w:pPr>
            <w:r>
              <w:rPr>
                <w:rFonts w:ascii="宋体" w:hAnsi="宋体" w:eastAsia="宋体" w:cs="宋体"/>
                <w:sz w:val="16"/>
              </w:rPr>
              <w:t>科技与标准科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6" w:type="dxa"/>
            <w:left w:w="31" w:type="dxa"/>
            <w:bottom w:w="25" w:type="dxa"/>
            <w:right w:w="34"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21"/>
              <w:jc w:val="center"/>
            </w:pPr>
            <w:r>
              <w:rPr>
                <w:rFonts w:ascii="宋体" w:hAnsi="宋体" w:eastAsia="宋体" w:cs="宋体"/>
                <w:sz w:val="16"/>
              </w:rPr>
              <w:t>269</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17"/>
              <w:jc w:val="center"/>
            </w:pPr>
            <w:r>
              <w:rPr>
                <w:rFonts w:ascii="宋体" w:hAnsi="宋体" w:eastAsia="宋体" w:cs="宋体"/>
                <w:sz w:val="16"/>
              </w:rPr>
              <w:t>施工单位未按照施工图设计文件以及绿色建筑标准组织施工的处罚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16"/>
              <w:jc w:val="center"/>
            </w:pPr>
            <w:r>
              <w:rPr>
                <w:rFonts w:ascii="宋体" w:hAnsi="宋体" w:eastAsia="宋体" w:cs="宋体"/>
                <w:sz w:val="16"/>
              </w:rPr>
              <w:t>《河南省绿色建筑条例》</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6" w:type="dxa"/>
            <w:left w:w="31" w:type="dxa"/>
            <w:bottom w:w="25" w:type="dxa"/>
            <w:right w:w="34" w:type="dxa"/>
          </w:tblCellMar>
        </w:tblPrEx>
        <w:trPr>
          <w:trHeight w:val="562"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21"/>
              <w:jc w:val="center"/>
            </w:pPr>
            <w:r>
              <w:rPr>
                <w:rFonts w:ascii="宋体" w:hAnsi="宋体" w:eastAsia="宋体" w:cs="宋体"/>
                <w:sz w:val="16"/>
              </w:rPr>
              <w:t>270</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20"/>
              <w:jc w:val="center"/>
            </w:pPr>
            <w:r>
              <w:rPr>
                <w:rFonts w:ascii="宋体" w:hAnsi="宋体" w:eastAsia="宋体" w:cs="宋体"/>
                <w:sz w:val="16"/>
              </w:rPr>
              <w:t>监理单位未按照施工图设计文件和绿色建筑标准要求实施监理的处罚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16"/>
              <w:jc w:val="center"/>
            </w:pPr>
            <w:r>
              <w:rPr>
                <w:rFonts w:ascii="宋体" w:hAnsi="宋体" w:eastAsia="宋体" w:cs="宋体"/>
                <w:sz w:val="16"/>
              </w:rPr>
              <w:t>《河南省绿色建筑条例》</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6" w:type="dxa"/>
            <w:left w:w="31" w:type="dxa"/>
            <w:bottom w:w="25" w:type="dxa"/>
            <w:right w:w="34"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21"/>
              <w:jc w:val="center"/>
            </w:pPr>
            <w:r>
              <w:rPr>
                <w:rFonts w:ascii="宋体" w:hAnsi="宋体" w:eastAsia="宋体" w:cs="宋体"/>
                <w:sz w:val="16"/>
              </w:rPr>
              <w:t>271</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18"/>
              <w:jc w:val="center"/>
            </w:pPr>
            <w:r>
              <w:rPr>
                <w:rFonts w:ascii="宋体" w:hAnsi="宋体" w:eastAsia="宋体" w:cs="宋体"/>
                <w:sz w:val="16"/>
              </w:rPr>
              <w:t>建设单位对不符合施工图设计文件和绿色建筑标准要求的建筑项目出具竣工验收合格报告的处罚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16"/>
              <w:jc w:val="center"/>
            </w:pPr>
            <w:r>
              <w:rPr>
                <w:rFonts w:ascii="宋体" w:hAnsi="宋体" w:eastAsia="宋体" w:cs="宋体"/>
                <w:sz w:val="16"/>
              </w:rPr>
              <w:t>《河南省绿色建筑条例》</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26" w:type="dxa"/>
            <w:left w:w="31" w:type="dxa"/>
            <w:bottom w:w="25" w:type="dxa"/>
            <w:right w:w="34" w:type="dxa"/>
          </w:tblCellMar>
        </w:tblPrEx>
        <w:trPr>
          <w:trHeight w:val="715"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21"/>
              <w:jc w:val="center"/>
            </w:pPr>
            <w:r>
              <w:rPr>
                <w:rFonts w:ascii="宋体" w:hAnsi="宋体" w:eastAsia="宋体" w:cs="宋体"/>
                <w:sz w:val="16"/>
              </w:rPr>
              <w:t>272</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房地产开发企业未在绿色建筑商品房买卖合同和住宅质量保证书、住宅使用说明书中如实载明所销售房屋的绿色建筑等级和主要技术措施的处罚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16"/>
              <w:jc w:val="center"/>
            </w:pPr>
            <w:r>
              <w:rPr>
                <w:rFonts w:ascii="宋体" w:hAnsi="宋体" w:eastAsia="宋体" w:cs="宋体"/>
                <w:sz w:val="16"/>
              </w:rPr>
              <w:t>《河南省绿色建筑条例》</w:t>
            </w:r>
          </w:p>
        </w:tc>
        <w:tc>
          <w:tcPr>
            <w:tcW w:w="0" w:type="auto"/>
            <w:vMerge w:val="continue"/>
            <w:tcBorders>
              <w:top w:val="nil"/>
              <w:left w:val="single" w:color="000000" w:sz="8" w:space="0"/>
              <w:bottom w:val="single" w:color="000000" w:sz="8" w:space="0"/>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bl>
    <w:p>
      <w:pPr>
        <w:spacing w:after="0"/>
        <w:ind w:left="-1440" w:right="15394"/>
      </w:pPr>
    </w:p>
    <w:tbl>
      <w:tblPr>
        <w:tblStyle w:val="7"/>
        <w:tblW w:w="15775" w:type="dxa"/>
        <w:tblInd w:w="-1080" w:type="dxa"/>
        <w:tblLayout w:type="autofit"/>
        <w:tblCellMar>
          <w:top w:w="36" w:type="dxa"/>
          <w:left w:w="29" w:type="dxa"/>
          <w:bottom w:w="0" w:type="dxa"/>
          <w:right w:w="50" w:type="dxa"/>
        </w:tblCellMar>
      </w:tblPr>
      <w:tblGrid>
        <w:gridCol w:w="662"/>
        <w:gridCol w:w="7687"/>
        <w:gridCol w:w="4766"/>
        <w:gridCol w:w="1565"/>
        <w:gridCol w:w="1095"/>
      </w:tblGrid>
      <w:tr>
        <w:tblPrEx>
          <w:tblCellMar>
            <w:top w:w="36" w:type="dxa"/>
            <w:left w:w="29" w:type="dxa"/>
            <w:bottom w:w="0" w:type="dxa"/>
            <w:right w:w="50" w:type="dxa"/>
          </w:tblCellMar>
        </w:tblPrEx>
        <w:trPr>
          <w:trHeight w:val="542"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149"/>
            </w:pPr>
            <w:r>
              <w:rPr>
                <w:rFonts w:ascii="黑体" w:hAnsi="黑体" w:eastAsia="黑体" w:cs="黑体"/>
                <w:sz w:val="16"/>
              </w:rPr>
              <w:t>序号</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4"/>
              <w:jc w:val="center"/>
            </w:pPr>
            <w:r>
              <w:rPr>
                <w:rFonts w:ascii="黑体" w:hAnsi="黑体" w:eastAsia="黑体" w:cs="黑体"/>
                <w:sz w:val="16"/>
              </w:rPr>
              <w:t>违法行为</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7"/>
              <w:jc w:val="center"/>
            </w:pPr>
            <w:r>
              <w:rPr>
                <w:rFonts w:ascii="黑体" w:hAnsi="黑体" w:eastAsia="黑体" w:cs="黑体"/>
                <w:sz w:val="16"/>
              </w:rPr>
              <w:t>行政处罚实施依据</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37"/>
              <w:jc w:val="center"/>
            </w:pPr>
            <w:r>
              <w:rPr>
                <w:rFonts w:ascii="黑体" w:hAnsi="黑体" w:eastAsia="黑体" w:cs="黑体"/>
                <w:sz w:val="16"/>
              </w:rPr>
              <w:t>责任科室</w:t>
            </w:r>
          </w:p>
        </w:tc>
        <w:tc>
          <w:tcPr>
            <w:tcW w:w="1094" w:type="dxa"/>
            <w:tcBorders>
              <w:top w:val="single" w:color="000000" w:sz="8" w:space="0"/>
              <w:left w:val="single" w:color="000000" w:sz="8" w:space="0"/>
              <w:bottom w:val="single" w:color="000000" w:sz="8" w:space="0"/>
              <w:right w:val="single" w:color="000000" w:sz="8" w:space="0"/>
            </w:tcBorders>
            <w:vAlign w:val="center"/>
          </w:tcPr>
          <w:p>
            <w:pPr>
              <w:spacing w:after="0"/>
              <w:ind w:left="36"/>
              <w:jc w:val="center"/>
            </w:pPr>
            <w:r>
              <w:rPr>
                <w:rFonts w:ascii="黑体" w:hAnsi="黑体" w:eastAsia="黑体" w:cs="黑体"/>
                <w:sz w:val="16"/>
              </w:rPr>
              <w:t>备注</w:t>
            </w:r>
          </w:p>
        </w:tc>
      </w:tr>
      <w:tr>
        <w:tblPrEx>
          <w:tblCellMar>
            <w:top w:w="36" w:type="dxa"/>
            <w:left w:w="29" w:type="dxa"/>
            <w:bottom w:w="0" w:type="dxa"/>
            <w:right w:w="50" w:type="dxa"/>
          </w:tblCellMar>
        </w:tblPrEx>
        <w:trPr>
          <w:trHeight w:val="444"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9"/>
              <w:jc w:val="center"/>
            </w:pPr>
            <w:r>
              <w:rPr>
                <w:rFonts w:ascii="宋体" w:hAnsi="宋体" w:eastAsia="宋体" w:cs="宋体"/>
                <w:sz w:val="16"/>
              </w:rPr>
              <w:t>273</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5"/>
              <w:jc w:val="center"/>
            </w:pPr>
            <w:r>
              <w:rPr>
                <w:rFonts w:ascii="宋体" w:hAnsi="宋体" w:eastAsia="宋体" w:cs="宋体"/>
                <w:sz w:val="16"/>
              </w:rPr>
              <w:t>拒绝、阻挠监督检查，或者在接受监督检查时弄虚作假的处罚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8"/>
              <w:jc w:val="center"/>
            </w:pPr>
            <w:r>
              <w:rPr>
                <w:rFonts w:ascii="宋体" w:hAnsi="宋体" w:eastAsia="宋体" w:cs="宋体"/>
                <w:sz w:val="16"/>
              </w:rPr>
              <w:t>《中华人民共和国噪声污染防治法》</w:t>
            </w:r>
          </w:p>
        </w:tc>
        <w:tc>
          <w:tcPr>
            <w:tcW w:w="1565" w:type="dxa"/>
            <w:vMerge w:val="restart"/>
            <w:tcBorders>
              <w:top w:val="single" w:color="000000" w:sz="8" w:space="0"/>
              <w:left w:val="single" w:color="000000" w:sz="8" w:space="0"/>
              <w:bottom w:val="single" w:color="000000" w:sz="8" w:space="0"/>
              <w:right w:val="single" w:color="000000" w:sz="8" w:space="0"/>
            </w:tcBorders>
            <w:vAlign w:val="center"/>
          </w:tcPr>
          <w:p>
            <w:pPr>
              <w:spacing w:after="0"/>
              <w:ind w:left="38"/>
              <w:jc w:val="both"/>
            </w:pPr>
            <w:r>
              <w:rPr>
                <w:rFonts w:ascii="宋体" w:hAnsi="宋体" w:eastAsia="宋体" w:cs="宋体"/>
                <w:sz w:val="16"/>
              </w:rPr>
              <w:t>工程质量安全管理科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36" w:type="dxa"/>
            <w:left w:w="29" w:type="dxa"/>
            <w:bottom w:w="0" w:type="dxa"/>
            <w:right w:w="50" w:type="dxa"/>
          </w:tblCellMar>
        </w:tblPrEx>
        <w:trPr>
          <w:trHeight w:val="562"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9"/>
              <w:jc w:val="center"/>
            </w:pPr>
            <w:r>
              <w:rPr>
                <w:rFonts w:ascii="宋体" w:hAnsi="宋体" w:eastAsia="宋体" w:cs="宋体"/>
                <w:sz w:val="16"/>
              </w:rPr>
              <w:t>274</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ind w:left="37"/>
              <w:jc w:val="center"/>
            </w:pPr>
            <w:r>
              <w:rPr>
                <w:rFonts w:ascii="宋体" w:hAnsi="宋体" w:eastAsia="宋体" w:cs="宋体"/>
                <w:sz w:val="16"/>
              </w:rPr>
              <w:t>建设单位建设噪声敏感建筑物不符合民用建筑隔声设计相关标准要求的处罚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8"/>
              <w:jc w:val="center"/>
            </w:pPr>
            <w:r>
              <w:rPr>
                <w:rFonts w:ascii="宋体" w:hAnsi="宋体" w:eastAsia="宋体" w:cs="宋体"/>
                <w:sz w:val="16"/>
              </w:rPr>
              <w:t>《中华人民共和国噪声污染防治法》</w:t>
            </w:r>
          </w:p>
        </w:tc>
        <w:tc>
          <w:tcPr>
            <w:tcW w:w="0" w:type="auto"/>
            <w:vMerge w:val="continue"/>
            <w:tcBorders>
              <w:top w:val="nil"/>
              <w:left w:val="single" w:color="000000" w:sz="8" w:space="0"/>
              <w:bottom w:val="nil"/>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36" w:type="dxa"/>
            <w:left w:w="29" w:type="dxa"/>
            <w:bottom w:w="0" w:type="dxa"/>
            <w:right w:w="50" w:type="dxa"/>
          </w:tblCellMar>
        </w:tblPrEx>
        <w:trPr>
          <w:trHeight w:val="619"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9"/>
              <w:jc w:val="center"/>
            </w:pPr>
            <w:r>
              <w:rPr>
                <w:rFonts w:ascii="宋体" w:hAnsi="宋体" w:eastAsia="宋体" w:cs="宋体"/>
                <w:sz w:val="16"/>
              </w:rPr>
              <w:t>275</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0"/>
              <w:jc w:val="center"/>
            </w:pPr>
            <w:r>
              <w:rPr>
                <w:rFonts w:ascii="宋体" w:hAnsi="宋体" w:eastAsia="宋体" w:cs="宋体"/>
                <w:sz w:val="16"/>
              </w:rPr>
              <w:t>超过噪声排放标准排放建筑施工噪声的；未按照规定取得证明，在噪声敏感建筑物集中区域夜间进行产生噪声的建筑施工作业的处罚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8"/>
              <w:jc w:val="center"/>
            </w:pPr>
            <w:r>
              <w:rPr>
                <w:rFonts w:ascii="宋体" w:hAnsi="宋体" w:eastAsia="宋体" w:cs="宋体"/>
                <w:sz w:val="16"/>
              </w:rPr>
              <w:t>《中华人民共和国噪声污染防治法》</w:t>
            </w:r>
          </w:p>
        </w:tc>
        <w:tc>
          <w:tcPr>
            <w:tcW w:w="0" w:type="auto"/>
            <w:vMerge w:val="continue"/>
            <w:tcBorders>
              <w:top w:val="nil"/>
              <w:left w:val="single" w:color="000000" w:sz="8" w:space="0"/>
              <w:bottom w:val="single" w:color="000000" w:sz="8" w:space="0"/>
              <w:right w:val="single" w:color="000000" w:sz="8" w:space="0"/>
            </w:tcBorders>
          </w:tcPr>
          <w:p>
            <w:pPr>
              <w:spacing w:after="0"/>
            </w:pP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36" w:type="dxa"/>
            <w:left w:w="29" w:type="dxa"/>
            <w:bottom w:w="0" w:type="dxa"/>
            <w:right w:w="50" w:type="dxa"/>
          </w:tblCellMar>
        </w:tblPrEx>
        <w:trPr>
          <w:trHeight w:val="1123"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9"/>
              <w:jc w:val="center"/>
            </w:pPr>
            <w:r>
              <w:rPr>
                <w:rFonts w:ascii="宋体" w:hAnsi="宋体" w:eastAsia="宋体" w:cs="宋体"/>
                <w:sz w:val="16"/>
              </w:rPr>
              <w:t>276</w:t>
            </w:r>
          </w:p>
        </w:tc>
        <w:tc>
          <w:tcPr>
            <w:tcW w:w="7687" w:type="dxa"/>
            <w:tcBorders>
              <w:top w:val="single" w:color="000000" w:sz="8" w:space="0"/>
              <w:left w:val="single" w:color="000000" w:sz="8" w:space="0"/>
              <w:bottom w:val="single" w:color="000000" w:sz="8" w:space="0"/>
              <w:right w:val="single" w:color="000000" w:sz="8" w:space="0"/>
            </w:tcBorders>
            <w:vAlign w:val="center"/>
          </w:tcPr>
          <w:p>
            <w:pPr>
              <w:spacing w:after="3" w:line="229" w:lineRule="auto"/>
              <w:jc w:val="center"/>
            </w:pPr>
            <w:r>
              <w:rPr>
                <w:rFonts w:ascii="宋体" w:hAnsi="宋体" w:eastAsia="宋体" w:cs="宋体"/>
                <w:sz w:val="16"/>
              </w:rPr>
              <w:t>建设单位未按照规定将噪声污染防治费用列入工程造价的；施工单位未按照规定制定噪声污染防治实施方案，或者未采取有效措施减少振动、降低噪声的；在噪声敏感建筑物集中区域施工作业的建设单位未按照国</w:t>
            </w:r>
          </w:p>
          <w:p>
            <w:pPr>
              <w:spacing w:after="0"/>
              <w:jc w:val="center"/>
            </w:pPr>
            <w:r>
              <w:rPr>
                <w:rFonts w:ascii="宋体" w:hAnsi="宋体" w:eastAsia="宋体" w:cs="宋体"/>
                <w:sz w:val="16"/>
              </w:rPr>
              <w:t>家规定设置噪声自动监测系统，未与监督管理部门联网，或者未保存原始监测记录的；因特殊需要必须连续施工作业，建设单位未按照规定公告附近居民的处罚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8"/>
              <w:jc w:val="center"/>
            </w:pPr>
            <w:r>
              <w:rPr>
                <w:rFonts w:ascii="宋体" w:hAnsi="宋体" w:eastAsia="宋体" w:cs="宋体"/>
                <w:sz w:val="16"/>
              </w:rPr>
              <w:t>《中华人民共和国噪声污染防治法》</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2"/>
              <w:jc w:val="both"/>
            </w:pPr>
            <w:r>
              <w:rPr>
                <w:rFonts w:ascii="宋体" w:hAnsi="宋体" w:eastAsia="宋体" w:cs="宋体"/>
                <w:sz w:val="16"/>
              </w:rPr>
              <w:t>工程质量安全管理科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36" w:type="dxa"/>
            <w:left w:w="29" w:type="dxa"/>
            <w:bottom w:w="0" w:type="dxa"/>
            <w:right w:w="50" w:type="dxa"/>
          </w:tblCellMar>
        </w:tblPrEx>
        <w:trPr>
          <w:trHeight w:val="773"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9"/>
              <w:jc w:val="center"/>
            </w:pPr>
            <w:r>
              <w:rPr>
                <w:rFonts w:ascii="宋体" w:hAnsi="宋体" w:eastAsia="宋体" w:cs="宋体"/>
                <w:sz w:val="16"/>
              </w:rPr>
              <w:t>277</w:t>
            </w:r>
          </w:p>
        </w:tc>
        <w:tc>
          <w:tcPr>
            <w:tcW w:w="7687" w:type="dxa"/>
            <w:tcBorders>
              <w:top w:val="single" w:color="000000" w:sz="8" w:space="0"/>
              <w:left w:val="single" w:color="000000" w:sz="8" w:space="0"/>
              <w:bottom w:val="single" w:color="000000" w:sz="8" w:space="0"/>
              <w:right w:val="single" w:color="000000" w:sz="8" w:space="0"/>
            </w:tcBorders>
          </w:tcPr>
          <w:p>
            <w:pPr>
              <w:spacing w:after="0"/>
              <w:jc w:val="center"/>
            </w:pPr>
            <w:r>
              <w:rPr>
                <w:rFonts w:ascii="宋体" w:hAnsi="宋体" w:eastAsia="宋体" w:cs="宋体"/>
                <w:sz w:val="16"/>
              </w:rPr>
              <w:t>新建居民住房的房地产开发经营者未在销售场所公示住房可能受到噪声影响的情况以及采取或者拟采取的防治措施，或者未纳入买卖合同的；新建居民住房的房地产开发经营者未在买卖合同中明确住房的共用设施设备位置或者建筑隔声情况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8"/>
              <w:jc w:val="center"/>
            </w:pPr>
            <w:r>
              <w:rPr>
                <w:rFonts w:ascii="宋体" w:hAnsi="宋体" w:eastAsia="宋体" w:cs="宋体"/>
                <w:sz w:val="16"/>
              </w:rPr>
              <w:t>《中华人民共和国噪声污染防治法》</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2"/>
            </w:pPr>
            <w:r>
              <w:rPr>
                <w:rFonts w:ascii="宋体" w:hAnsi="宋体" w:eastAsia="宋体" w:cs="宋体"/>
                <w:sz w:val="16"/>
              </w:rPr>
              <w:t>房地产开发管理科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r>
        <w:tblPrEx>
          <w:tblCellMar>
            <w:top w:w="36" w:type="dxa"/>
            <w:left w:w="29" w:type="dxa"/>
            <w:bottom w:w="0" w:type="dxa"/>
            <w:right w:w="50" w:type="dxa"/>
          </w:tblCellMar>
        </w:tblPrEx>
        <w:trPr>
          <w:trHeight w:val="814" w:hRule="atLeast"/>
        </w:trPr>
        <w:tc>
          <w:tcPr>
            <w:tcW w:w="662" w:type="dxa"/>
            <w:tcBorders>
              <w:top w:val="single" w:color="000000" w:sz="8" w:space="0"/>
              <w:left w:val="single" w:color="000000" w:sz="8" w:space="0"/>
              <w:bottom w:val="single" w:color="000000" w:sz="8" w:space="0"/>
              <w:right w:val="single" w:color="000000" w:sz="8" w:space="0"/>
            </w:tcBorders>
            <w:vAlign w:val="center"/>
          </w:tcPr>
          <w:p>
            <w:pPr>
              <w:spacing w:after="0"/>
              <w:ind w:left="39"/>
              <w:jc w:val="center"/>
            </w:pPr>
            <w:r>
              <w:rPr>
                <w:rFonts w:ascii="宋体" w:hAnsi="宋体" w:eastAsia="宋体" w:cs="宋体"/>
                <w:sz w:val="16"/>
              </w:rPr>
              <w:t>278</w:t>
            </w:r>
          </w:p>
        </w:tc>
        <w:tc>
          <w:tcPr>
            <w:tcW w:w="7687" w:type="dxa"/>
            <w:tcBorders>
              <w:top w:val="single" w:color="000000" w:sz="8" w:space="0"/>
              <w:left w:val="single" w:color="000000" w:sz="8" w:space="0"/>
              <w:bottom w:val="single" w:color="000000" w:sz="8" w:space="0"/>
              <w:right w:val="single" w:color="000000" w:sz="8" w:space="0"/>
            </w:tcBorders>
          </w:tcPr>
          <w:p>
            <w:pPr>
              <w:spacing w:after="0"/>
            </w:pPr>
            <w:r>
              <w:rPr>
                <w:rFonts w:ascii="宋体" w:hAnsi="宋体" w:eastAsia="宋体" w:cs="宋体"/>
                <w:sz w:val="16"/>
              </w:rPr>
              <w:t>居民住宅区安装共用设施设备，设置不合理或者未采取减少振动、降低噪声的措施，不符合民用建筑隔声设计相关标准要求的；对已建成使用的居民住宅区共用设施设备，专业运营单位未进行维护管理，不符合民用建筑隔声设计相关标准要求的处罚</w:t>
            </w:r>
          </w:p>
        </w:tc>
        <w:tc>
          <w:tcPr>
            <w:tcW w:w="4766" w:type="dxa"/>
            <w:tcBorders>
              <w:top w:val="single" w:color="000000" w:sz="8" w:space="0"/>
              <w:left w:val="single" w:color="000000" w:sz="8" w:space="0"/>
              <w:bottom w:val="single" w:color="000000" w:sz="8" w:space="0"/>
              <w:right w:val="single" w:color="000000" w:sz="8" w:space="0"/>
            </w:tcBorders>
            <w:vAlign w:val="center"/>
          </w:tcPr>
          <w:p>
            <w:pPr>
              <w:spacing w:after="0"/>
              <w:ind w:left="38"/>
              <w:jc w:val="center"/>
            </w:pPr>
            <w:r>
              <w:rPr>
                <w:rFonts w:ascii="宋体" w:hAnsi="宋体" w:eastAsia="宋体" w:cs="宋体"/>
                <w:sz w:val="16"/>
              </w:rPr>
              <w:t>《中华人民共和国噪声污染防治法》</w:t>
            </w:r>
          </w:p>
        </w:tc>
        <w:tc>
          <w:tcPr>
            <w:tcW w:w="1565" w:type="dxa"/>
            <w:tcBorders>
              <w:top w:val="single" w:color="000000" w:sz="8" w:space="0"/>
              <w:left w:val="single" w:color="000000" w:sz="8" w:space="0"/>
              <w:bottom w:val="single" w:color="000000" w:sz="8" w:space="0"/>
              <w:right w:val="single" w:color="000000" w:sz="8" w:space="0"/>
            </w:tcBorders>
            <w:vAlign w:val="center"/>
          </w:tcPr>
          <w:p>
            <w:pPr>
              <w:spacing w:after="0"/>
              <w:ind w:left="2"/>
              <w:jc w:val="both"/>
            </w:pPr>
            <w:r>
              <w:rPr>
                <w:rFonts w:ascii="宋体" w:hAnsi="宋体" w:eastAsia="宋体" w:cs="宋体"/>
                <w:sz w:val="16"/>
              </w:rPr>
              <w:t>工程质量安全管理科</w:t>
            </w:r>
          </w:p>
          <w:p>
            <w:pPr>
              <w:spacing w:after="0"/>
              <w:ind w:left="2"/>
            </w:pPr>
            <w:r>
              <w:rPr>
                <w:rFonts w:ascii="宋体" w:hAnsi="宋体" w:eastAsia="宋体" w:cs="宋体"/>
                <w:sz w:val="16"/>
              </w:rPr>
              <w:t>、物业管理科</w:t>
            </w:r>
          </w:p>
        </w:tc>
        <w:tc>
          <w:tcPr>
            <w:tcW w:w="1094" w:type="dxa"/>
            <w:tcBorders>
              <w:top w:val="single" w:color="000000" w:sz="8" w:space="0"/>
              <w:left w:val="single" w:color="000000" w:sz="8" w:space="0"/>
              <w:bottom w:val="single" w:color="000000" w:sz="8" w:space="0"/>
              <w:right w:val="single" w:color="000000" w:sz="8" w:space="0"/>
            </w:tcBorders>
          </w:tcPr>
          <w:p>
            <w:pPr>
              <w:spacing w:after="0"/>
            </w:pPr>
          </w:p>
        </w:tc>
      </w:tr>
    </w:tbl>
    <w:p>
      <w:pPr>
        <w:sectPr>
          <w:pgSz w:w="16834" w:h="11909" w:orient="landscape"/>
          <w:pgMar w:top="1080" w:right="1440" w:bottom="1152" w:left="1440" w:header="720" w:footer="720" w:gutter="0"/>
          <w:cols w:space="720" w:num="1"/>
        </w:sectPr>
      </w:pPr>
    </w:p>
    <w:p>
      <w:pPr>
        <w:spacing w:after="0"/>
      </w:pPr>
      <w:r>
        <w:br w:type="page"/>
      </w:r>
    </w:p>
    <w:p>
      <w:pPr>
        <w:spacing w:after="0"/>
      </w:pPr>
    </w:p>
    <w:p>
      <w:pPr>
        <w:spacing w:after="0"/>
      </w:pPr>
      <w:r>
        <w:br w:type="page"/>
      </w:r>
    </w:p>
    <w:p>
      <w:pPr>
        <w:spacing w:after="0"/>
      </w:pPr>
      <w:r>
        <w:br w:type="page"/>
      </w:r>
    </w:p>
    <w:p>
      <w:pPr>
        <w:spacing w:after="0"/>
      </w:pPr>
      <w:r>
        <w:br w:type="page"/>
      </w:r>
    </w:p>
    <w:p>
      <w:pPr>
        <w:spacing w:after="0"/>
      </w:pPr>
      <w:r>
        <w:br w:type="page"/>
      </w:r>
    </w:p>
    <w:p>
      <w:pPr>
        <w:spacing w:after="0"/>
      </w:pPr>
      <w:r>
        <w:br w:type="page"/>
      </w:r>
    </w:p>
    <w:p>
      <w:pPr>
        <w:spacing w:after="0"/>
      </w:pPr>
      <w:r>
        <w:br w:type="page"/>
      </w:r>
    </w:p>
    <w:p>
      <w:pPr>
        <w:spacing w:after="0"/>
      </w:pPr>
      <w:r>
        <w:br w:type="page"/>
      </w:r>
    </w:p>
    <w:p>
      <w:pPr>
        <w:spacing w:after="0"/>
      </w:pPr>
      <w:r>
        <w:br w:type="page"/>
      </w:r>
    </w:p>
    <w:p>
      <w:pPr>
        <w:spacing w:after="0"/>
      </w:pPr>
    </w:p>
    <w:sectPr>
      <w:pgSz w:w="16834" w:h="11909" w:orient="landscape"/>
      <w:pgMar w:top="1440" w:right="1440" w:bottom="1440" w:left="1440" w:header="720" w:footer="72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等线">
    <w:altName w:val="微软雅黑"/>
    <w:panose1 w:val="00000000000000000000"/>
    <w:charset w:val="86"/>
    <w:family w:val="auto"/>
    <w:pitch w:val="default"/>
    <w:sig w:usb0="00000000" w:usb1="00000000" w:usb2="00000000" w:usb3="00000000" w:csb0="00000000" w:csb1="00000000"/>
  </w:font>
  <w:font w:name="等线">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swiss"/>
    <w:pitch w:val="default"/>
    <w:sig w:usb0="80000287" w:usb1="280F3C52" w:usb2="00000016" w:usb3="00000000" w:csb0="0004001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characterSpacingControl w:val="doNotCompress"/>
  <w:footnotePr>
    <w:footnote w:id="0"/>
    <w:footnote w:id="1"/>
  </w:footnotePr>
  <w:endnotePr>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21E8"/>
    <w:rsid w:val="008121E8"/>
    <w:rsid w:val="009B63AB"/>
    <w:rsid w:val="00A4021D"/>
    <w:rsid w:val="570C78F2"/>
    <w:rsid w:val="BEEA38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spacing w:after="160" w:line="259" w:lineRule="auto"/>
    </w:pPr>
    <w:rPr>
      <w:rFonts w:ascii="Calibri" w:hAnsi="Calibri" w:eastAsia="Calibri" w:cs="Calibri"/>
      <w:color w:val="000000"/>
      <w:kern w:val="2"/>
      <w:sz w:val="22"/>
      <w:szCs w:val="24"/>
      <w:lang w:val="en-US" w:eastAsia="zh-CN" w:bidi="ar-SA"/>
      <w14:ligatures w14:val="standardContextual"/>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w:basedOn w:val="1"/>
    <w:semiHidden/>
    <w:unhideWhenUsed/>
    <w:uiPriority w:val="99"/>
    <w:pPr>
      <w:spacing w:after="120" w:afterLines="0" w:afterAutospacing="0"/>
    </w:pPr>
  </w:style>
  <w:style w:type="paragraph" w:styleId="3">
    <w:name w:val="footer"/>
    <w:basedOn w:val="1"/>
    <w:link w:val="9"/>
    <w:unhideWhenUsed/>
    <w:qFormat/>
    <w:uiPriority w:val="99"/>
    <w:pPr>
      <w:tabs>
        <w:tab w:val="center" w:pos="4153"/>
        <w:tab w:val="right" w:pos="8306"/>
      </w:tabs>
      <w:snapToGrid w:val="0"/>
      <w:spacing w:line="240" w:lineRule="auto"/>
    </w:pPr>
    <w:rPr>
      <w:sz w:val="18"/>
      <w:szCs w:val="18"/>
    </w:rPr>
  </w:style>
  <w:style w:type="paragraph" w:styleId="4">
    <w:name w:val="header"/>
    <w:basedOn w:val="1"/>
    <w:link w:val="8"/>
    <w:unhideWhenUsed/>
    <w:qFormat/>
    <w:uiPriority w:val="99"/>
    <w:pPr>
      <w:tabs>
        <w:tab w:val="center" w:pos="4153"/>
        <w:tab w:val="right" w:pos="8306"/>
      </w:tabs>
      <w:snapToGrid w:val="0"/>
      <w:spacing w:line="240" w:lineRule="auto"/>
      <w:jc w:val="center"/>
    </w:pPr>
    <w:rPr>
      <w:sz w:val="18"/>
      <w:szCs w:val="18"/>
    </w:rPr>
  </w:style>
  <w:style w:type="table" w:customStyle="1" w:styleId="7">
    <w:name w:val="TableGrid"/>
    <w:qFormat/>
    <w:uiPriority w:val="0"/>
    <w:pPr>
      <w:spacing w:after="0" w:line="240" w:lineRule="auto"/>
    </w:pPr>
    <w:tblPr>
      <w:tblCellMar>
        <w:top w:w="0" w:type="dxa"/>
        <w:left w:w="0" w:type="dxa"/>
        <w:bottom w:w="0" w:type="dxa"/>
        <w:right w:w="0" w:type="dxa"/>
      </w:tblCellMar>
    </w:tblPr>
  </w:style>
  <w:style w:type="character" w:customStyle="1" w:styleId="8">
    <w:name w:val="页眉 字符"/>
    <w:basedOn w:val="6"/>
    <w:link w:val="4"/>
    <w:qFormat/>
    <w:uiPriority w:val="99"/>
    <w:rPr>
      <w:rFonts w:ascii="Calibri" w:hAnsi="Calibri" w:eastAsia="Calibri" w:cs="Calibri"/>
      <w:color w:val="000000"/>
      <w:sz w:val="18"/>
      <w:szCs w:val="18"/>
    </w:rPr>
  </w:style>
  <w:style w:type="character" w:customStyle="1" w:styleId="9">
    <w:name w:val="页脚 字符"/>
    <w:basedOn w:val="6"/>
    <w:link w:val="3"/>
    <w:qFormat/>
    <w:uiPriority w:val="99"/>
    <w:rPr>
      <w:rFonts w:ascii="Calibri" w:hAnsi="Calibri" w:eastAsia="Calibri" w:cs="Calibri"/>
      <w:color w:val="000000"/>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35</Pages>
  <Words>24862</Words>
  <Characters>25564</Characters>
  <Lines>195</Lines>
  <Paragraphs>55</Paragraphs>
  <TotalTime>3</TotalTime>
  <ScaleCrop>false</ScaleCrop>
  <LinksUpToDate>false</LinksUpToDate>
  <CharactersWithSpaces>25595</CharactersWithSpaces>
  <Application>WPS Office_11.8.2.12195_F1E327BC-269C-435d-A152-05C5408002CA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2026-01-27T09:30:00Z</dcterms:created>
  <dc:creator>dd</dc:creator>
  <cp:lastModifiedBy>Administrator</cp:lastModifiedBy>
  <dcterms:modified xsi:type="dcterms:W3CDTF">2026-01-27T08:39:29Z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04802430C05B49EA8A7CA2DF5C559A97</vt:lpwstr>
  </property>
</Properties>
</file>